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TD21.033900 vom 3. Juni 2024</w:t>
      </w:r>
    </w:p>
    <w:p>
      <w:r>
        <w:t>VD Tribunal cantonal, 2024-06-03, FR</w:t>
      </w:r>
    </w:p>
    <w:p>
      <w:r>
        <w:rPr>
          <w:b/>
        </w:rPr>
        <w:t xml:space="preserve">Quelle: </w:t>
      </w:r>
      <w:r>
        <w:t>https://mcp.opencaselaw.ch/entscheid/vd_gerichte_TD21.033900</w:t>
      </w:r>
    </w:p>
    <w:p>
      <w:r>
        <w:t>FR: VD_GERICHTE TD21.033900 du 3 juin 2024</w:t>
      </w:r>
    </w:p>
    <w:p>
      <w:r>
        <w:t>IT: VD_GERICHTE TD21.033900 del 3 giugno 2024</w:t>
      </w:r>
    </w:p>
    <w:p>
      <w:pPr>
        <w:pStyle w:val="Heading2"/>
      </w:pPr>
      <w:r>
        <w:t>Erwägungen</w:t>
      </w:r>
    </w:p>
    <w:p>
      <w:r>
        <w:rPr>
          <w:b/>
        </w:rPr>
        <w:t>E. 1</w:t>
      </w:r>
    </w:p>
    <w:p>
      <w:r>
        <w:t>La recourante et l’intimé se sont mariés le [...] 2003 à [...] (VS) et ont eu un enfant, C.N.________, né le [...] 2006.</w:t>
      </w:r>
    </w:p>
    <w:p>
      <w:r>
        <w:rPr>
          <w:b/>
        </w:rPr>
        <w:t>E. 1.1</w:t>
      </w:r>
    </w:p>
    <w:p>
      <w:r>
        <w:t>L'art. 110 CPC ouvre la voie du recours séparé de l'art. 319 let. b ch. 1 CPC (Code de procédure civile du 19 décembre 2008 ; RS 272) contre les décisions sur les frais, lesquels comprennent les frais judiciaires et les dépens (art. 95 al. 1 let. a et b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138 III 94 consid. 2.2 ; ATF 134 I 159 consid. 1.1). Le délai est de dix jours pour les décisions prises en procédure sommaire, à moins que la loi n’en dispose autrement (art. 321 al. 2 CPC).</w:t>
      </w:r>
    </w:p>
    <w:p>
      <w:r>
        <w:rPr>
          <w:b/>
        </w:rPr>
        <w:t>E. 1.2</w:t>
      </w:r>
    </w:p>
    <w:p>
      <w:r>
        <w:t>En l’espèce, le recours, écrit et motivé, porte sur la répartition des frais judiciaires et dépens dans le cadre d’une procédure de mesures provisionnelles. Le prononcé entrepris ayant été rendu en procédure sommaire (art. 271 let. a et 276 al. 1 CPC), il a été interjeté en temps utile auprès de l’autorité compétente, par une partie ayant un intérêt digne de protection. Il a en outre été rédigé dans les formes prescrites (art. 59 al. 2 let. a CPC). Le recours est donc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w:t>
      </w:r>
    </w:p>
    <w:p>
      <w:r>
        <w:t>- 7 -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w:t>
      </w:r>
    </w:p>
    <w:p>
      <w:r>
        <w:rPr>
          <w:b/>
        </w:rPr>
        <w:t>E. 2</w:t>
      </w:r>
    </w:p>
    <w:p>
      <w:r>
        <w:t>Vivant séparées depuis le 1er mai 2019, les parties se sont accordées sur les modalités de leur séparation dans une convention judiciaire partielle de mesures protectrices de l’union conjugale du 10 février 2020, prévoyant en substance que la garde de leur fils serait confiée à la mère et que le père exercerait un libre et large droit de visite envers son fils. Par ordonnance de mesures protectrices de l’union conjugale du 28 juillet 2020, le président a notamment dit que l’intimé contribuerait à l’entretien de son fils par le versement d’une pension mensuelle de</w:t>
      </w:r>
    </w:p>
    <w:p>
      <w:r>
        <w:t>- 4 - 180 fr., allocations familiales en sus, et à celui de son épouse par le versement d’une pension mensuelle de 1'700 fr., dès le 1er décembre 2019.</w:t>
      </w:r>
    </w:p>
    <w:p>
      <w:r>
        <w:rPr>
          <w:b/>
        </w:rPr>
        <w:t>E. 3</w:t>
      </w:r>
    </w:p>
    <w:p>
      <w:r>
        <w:t>Par demande du 15 septembre 2021, complétée le 25 février 2022, la recourante a conclu au divorce. Par réponse du 23 mai 2022, l’intimé a également conclu au divorce.</w:t>
      </w:r>
    </w:p>
    <w:p>
      <w:r>
        <w:rPr>
          <w:b/>
        </w:rPr>
        <w:t>E. 3.1</w:t>
      </w:r>
    </w:p>
    <w:p>
      <w:r>
        <w:t>La recourante invoque une violation de son droit d’être entendue. Elle reproche au premier juge d’avoir insuffisamment motivé sa décision quant au fondement des dépens et de leur répartition, ne sachant pas lesquelles des règles générales de l’art. 106 ou de l’équité de l’art. 107 CPC étaient appliquées. Elle serait ainsi privée de toute compréhension des motifs liés à la décision des dépens et de toute contestation de celle-ci, ainsi que d’un premier degré d’instance.</w:t>
      </w:r>
    </w:p>
    <w:p>
      <w:r>
        <w:rPr>
          <w:b/>
        </w:rPr>
        <w:t>E. 3.1.1</w:t>
      </w:r>
    </w:p>
    <w:p>
      <w:r>
        <w:t>; TF 5A_679/2022 du 25 avril 2023 consid. 4.1.2). Ce moyen doit par conséquent être examiné en premier lieu (ATF 141 V 495 consid. 2.2 et les réf. citées ; TF 8C_119/2020 du 26 novembre 2020 consid. 4.2). 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afin que l’intéressé puisse se rendre compte de la portée de celle-ci et l’attaquer</w:t>
      </w:r>
    </w:p>
    <w:p>
      <w:r>
        <w:t>- 8 - en connaissance de cause (ATF 143 IV 40 consid. 3.4.3, JdT 2017 IV 243 ; ATF 142 I 135 consid. 2.1). Il n’a toutefois pas l’obligation d’exposer et de discuter tous les faits, moyens de preuve et griefs invoqués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 3.2.1 ; sur le tout : TF 5A_445/2023 du 2 octobre 2023 consid. 3.1 et les réf. citées ; TF 5A_961/2022 du 11 mai 2023 consid. 3.2).</w:t>
      </w:r>
    </w:p>
    <w:p>
      <w:r>
        <w:rPr>
          <w:b/>
        </w:rPr>
        <w:t>E. 3.2</w:t>
      </w:r>
    </w:p>
    <w:p>
      <w:r>
        <w:t>Le droit d’être entendu est une garantie constitutionnelle (art. 29 al. 2 Cst.) de nature formelle, dont la violation entraîne en principe l’annulation de la décision attaquée, indépendamment des chances de succès du recours sur le fond (ATF 144 I 11 consid. 5.3 ; ATF 143 IV 380 consid. 1.4.1, SJ 2018 I 293 ; TF 5A_645/2022 du 5 juillet 2023 consid.</w:t>
      </w:r>
    </w:p>
    <w:p>
      <w:r>
        <w:rPr>
          <w:b/>
        </w:rPr>
        <w:t>E. 3.3</w:t>
      </w:r>
    </w:p>
    <w:p>
      <w:r>
        <w:t>En l’espèce, on comprend clairement du chiffre 9 let. a de l’ordonnance querellée que le président s’est fondé sur l’art. 106 al. 1 CPC pour considérer que la recourante était la partie succombante. Il est expressément écrit « les frais judiciaires de la présente … sont mis à la charge de l’intimée qui succombe (art. 106 al. 1, 1re phrase, CPC ». Le même raisonnement a été tenu concernant les dépens, mis à la charge de la recourante. On constate que les contributions d’entretien arrêtées au chiffre IV de l’ordonnance querellée sont des montants très proches de ceux que l’intimé avait énoncés dans ses conclusions, alors entièrement rejetées par la recourante. La motivation du premier juge se déduit de la décision querellée elle-même, prise en relation avec les conclusions des parties, et s’avère compréhensible. La recourante a d’ailleurs compris cette décision, puisqu’elle élève des griefs selon lesquels elle ne devrait pas être considérée comme la partie qui succombe. Ainsi, même si la motivation du premier juge est très succincte, elle est suffisante pour permettre à la recourante de la contester utilement. Ce grief doit donc être rejeté. 4.</w:t>
      </w:r>
    </w:p>
    <w:p>
      <w:r>
        <w:rPr>
          <w:b/>
        </w:rPr>
        <w:t>E. 4</w:t>
      </w:r>
    </w:p>
    <w:p>
      <w:r>
        <w:t>Par requête de mesures provisionnelles du 8 juillet 2022, modifiée par déterminations du 13 juillet 2023, l’intimé a conclu, avec suite de frais, principalement, à ce que la garde de l’enfant lui soit confiée dès le 1er juillet 2022 (I), à ce que la mère exerce son droit de visite envers son fils d’entente avec lui compte tenu de son âge (II), à ce que la recourante doive lui reverser, chaque mois, le montant de 1'027 fr., comprenant les allocations familiales et la rente d’assurance-invalidité (ci- après : AI) qu’elle perçoit pour l’enfant, sous déduction des primes d’assurance maladie acquittées, dès le 1er juillet 2022 (III), à ce que la contribution d’entretien à sa charge en faveur de l’enfant et celle en faveur de la recourante soient supprimées dès le 1er juillet 2022 (IV) et à ce que toute autre conclusion soit rejetée (V). A titre subsidiaire, il a repris les conclusions précitées I à III, a conclu à ce que, dès le 1er juillet 2022, la contribution d’entretien à sa charge en faveur de la recourante soit réduite à 995 fr. 45 du 1er juillet au 15 septembre 2022, à 1'115 fr. 45 du 15 septembre 2022 au 1er janvier 2023, à 1'221 fr. 10 du 1er janvier 2023 au 1er juin 2023 et à 1'280 fr. 35 dès le 1er juin 2023 (IV) et au rejet de toute autre conclusion (V). Par déterminations du 23 juin 2023, confirmées à l’audience de mesures provisionnelles du 2 août 2023, la recourante a conclu, avec suite de frais, au rejet des conclusions susmentionnées.</w:t>
      </w:r>
    </w:p>
    <w:p>
      <w:r>
        <w:rPr>
          <w:b/>
        </w:rPr>
        <w:t>E. 4.1</w:t>
      </w:r>
    </w:p>
    <w:p>
      <w:r>
        <w:t>La recourante invoque une violation des art. 106 et 107 CPC. Elle prétend que s’agissant d’un litige du droit de la famille, le premier juge aurait méconnu la règle de l’art. 107 al. 1 let. c CPC. En l’appliquant, il aurait dû répartir les frais judiciaires par moitié et compenser les dépens.</w:t>
      </w:r>
    </w:p>
    <w:p>
      <w:r>
        <w:t>- 9 - Concernant l’application de l’art. 106 al. 1 CPC, elle observe que les conclusions prises par l’intimé n’ont pas toutes été admises, dès lors que certaines sont devenues sans objet et qu’il n’a pas obtenu la suppression, requise à titre principal, de la contribution d’entretien en sa faveur.</w:t>
      </w:r>
    </w:p>
    <w:p>
      <w:r>
        <w:rPr>
          <w:b/>
        </w:rPr>
        <w:t>E. 4.2.1</w:t>
      </w:r>
    </w:p>
    <w:p>
      <w:r>
        <w:t>Aux termes de l’art. 106 CPC, les frais – soit les frais judiciaires et les dépens (art. 95 al. 1 CPC) – sont mis à la charge de la partie succombante. Celle-ci est le demandeur lorsque le tribunal n’entre pas en matière et en cas de désistement d’action ; elle est le défendeur en cas d’acquiescement (al. 1). Lorsqu’aucune des parties n’obtient entièrement gain de cause, les frais sont répartis selon le sort de la cause (al. 2).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CR-CPC, 2e éd. 2019, nn. 12 et 14 ad art. 106 CPC).</w:t>
      </w:r>
    </w:p>
    <w:p>
      <w:r>
        <w:rPr>
          <w:b/>
        </w:rPr>
        <w:t>E. 4.2.2</w:t>
      </w:r>
    </w:p>
    <w:p>
      <w:r>
        <w:t>Selon l’art. 107 al. 1 CPC, le tribunal peut s’écarter des règles générales de répartition de l’art. 106 CPC et répartir les frais selon sa libre appréciation lorsque notamment le litige relève du droit de la famille (art. 107 al. 1 let. c CPC). A cet égard, le juge dispose d'un large pouvoir d'appréciation, non seulement dans la manière de répartir les frais, mais déjà lorsqu'il s'agit de déterminer s'il veut s'écarter des règles générales prescrites à l'art. 106 CPC (ATF 145 III 153 consid. 3.3.2 ; ATF 143 III 261 consid. 4.2.5 ; ATF 139 III 358 consid. 3). L’art. 107 CPC, en tant qu’exception, doit cependant être appliqué restrictivement et seulement en cas de circonstances particulières et ne doit pas avoir pour conséquence de vider le principe de l’art. 106 CPC de son contenu (ATF 143 III 106 consid. 4.2.5 ; TF 1C_350/2016 du 2 février 2017 consid. 2.3.2 ; TF 5D_69/2017 du 14 juillet 2017 consid. 3.3.1). Le simple fait que l'on soit en présence d'une procédure du droit de la famille ne justifie pas encore que l'on s'écarte de la</w:t>
      </w:r>
    </w:p>
    <w:p>
      <w:r>
        <w:t>- 10 - réglementation claire de l'art. 106 al. 1 CPC (TF 5A_401/2021 du 3 mars 2022 consid. 4.2 ; RSPC 2017 p. 410 ; TF 5A_85/2017 du 19 juin 2017 consid. 9.2). En particulier, on ne saurait mettre systématiquement les frais de justice à la charge des deux parents pour moitié chacun et compenser les dépens des parties dans les litiges concernant les enfants (TF 5A_783/2022 du 25 janvier 2023 consid. 3.3.2 ; TF 5A_457/2022 du 11 novembre 2022 consid. 3.6.2).</w:t>
      </w:r>
    </w:p>
    <w:p>
      <w:r>
        <w:rPr>
          <w:b/>
        </w:rPr>
        <w:t>E. 4.2.3</w:t>
      </w:r>
    </w:p>
    <w:p>
      <w:r>
        <w:t>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en ne tenant pas compte d’éléments essentiels ou, lorsque la décision, dans son résultat, est manifestement inéquitable ou heurte de manière choquante le sentiment de justice (TF 5D_108/2020 du 28 janvier 2021 consid. 3.1 ; TF 5A_140/2019 du</w:t>
      </w:r>
    </w:p>
    <w:p>
      <w:r>
        <w:rPr>
          <w:b/>
        </w:rPr>
        <w:t>E. 4.3</w:t>
      </w:r>
    </w:p>
    <w:p>
      <w:r>
        <w:t>En l’espèce, l’intimé a obtenu l’adjudication de la conclusion tendant au transfert du droit de garde de l’enfant en sa faveur et de celle portant sur l’exercice du droit de visite de la mère envers son fils, conclusions auxquelles la recourante s’opposait. Peu importe que ces conclusions soient devenues sans objet par le passage de l’enfant à la majorité. L’intimé a aussi gain de cause sur la conclusion III prise à titre principal. Concernant sa conclusion subsidiaire relative à l’entretien de la recourante, elle a été admise. Dès lors, sur la base des principes énoncés ci-dessus, il est indubitable que la recourante est la partie qui succombe dans cette procédure au sens de l’art. 106 al. 1 CPC, l’application de l’art. 107 al. 1 let. c CPC n’étant que potestative.</w:t>
      </w:r>
    </w:p>
    <w:p>
      <w:r>
        <w:rPr>
          <w:b/>
        </w:rPr>
        <w:t>E. 5</w:t>
      </w:r>
    </w:p>
    <w:p>
      <w:r>
        <w:t>juillet 2019 consid. 5.1.3).</w:t>
      </w:r>
    </w:p>
    <w:p>
      <w:r>
        <w:rPr>
          <w:b/>
        </w:rPr>
        <w:t>E. 5.1</w:t>
      </w:r>
    </w:p>
    <w:p>
      <w:r>
        <w:t>Au vu de ce qui précède, le recours doit être rejeté conformément à l’art. 322 al. 1 CPC et l’ordonnance querellée confirmée.</w:t>
      </w:r>
    </w:p>
    <w:p>
      <w:r>
        <w:t>- 11 -</w:t>
      </w:r>
    </w:p>
    <w:p>
      <w:r>
        <w:rPr>
          <w:b/>
        </w:rPr>
        <w:t>E. 5.2</w:t>
      </w:r>
    </w:p>
    <w:p>
      <w:r>
        <w:t>Le recours étant d’emblée dénué de chances de succès (art. 117 let. b CPC), la requête d’assistance judiciaire de la recourante doit être rejetée.</w:t>
      </w:r>
    </w:p>
    <w:p>
      <w:r>
        <w:rPr>
          <w:b/>
        </w:rPr>
        <w:t>E. 5.3</w:t>
      </w:r>
    </w:p>
    <w:p>
      <w:r>
        <w:t>Vu l’issue du litige, les frais judiciaires de deuxième instance, arrêtés à 400 fr. (art. 69 al. 1 TFJC [tarif des frais judiciaires civils du 28 septembre 2010 ; BLV 270.11.5]), seront mis à la charge de la recourante (art. 106 al. 1 CPC). L’intimé n’ayant pas été interpellé, il n’y a pas lieu d’allouer de dépens. Par ces motifs, la Chambre des recours civile du Tribunal cantonal, prononce : I. Le recours est rejeté. II. La décision est confirmée. III. La requête d’assistance judiciaire de A.N.________ est rejetée. IV. Les frais judiciaires de deuxième instance, arrêtés à 400 fr. (quatre cents francs), sont mis à la charge de A.N.________. V. L’arrêt est exécutoire.</w:t>
      </w:r>
    </w:p>
    <w:p>
      <w:r>
        <w:t>- 12 - La présidente : La greffière : Du L'arrêt qui précède, dont la rédaction a été approuvée à huis clos, est notifié à : - Me Marc Cheseaux, av. (pour A.N.________), - Me Patrick Guy Dubois, av. (pour B.N.________).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