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TD21.031390 vom 20. November 2023</w:t>
      </w:r>
    </w:p>
    <w:p>
      <w:r>
        <w:t>VD Tribunal cantonal, 2023-11-20, FR</w:t>
      </w:r>
    </w:p>
    <w:p>
      <w:r>
        <w:rPr>
          <w:b/>
        </w:rPr>
        <w:t xml:space="preserve">Quelle: </w:t>
      </w:r>
      <w:r>
        <w:t>https://mcp.opencaselaw.ch/entscheid/vd_gerichte_TD21.031390</w:t>
      </w:r>
    </w:p>
    <w:p>
      <w:r>
        <w:t>FR: VD_GERICHTE TD21.031390 du 20 novembre 2023</w:t>
      </w:r>
    </w:p>
    <w:p>
      <w:r>
        <w:t>IT: VD_GERICHTE TD21.031390 del 20 novembre 2023</w:t>
      </w:r>
    </w:p>
    <w:p>
      <w:pPr>
        <w:pStyle w:val="Heading2"/>
      </w:pPr>
      <w:r>
        <w:t>Erwägungen</w:t>
      </w:r>
    </w:p>
    <w:p>
      <w:r>
        <w:rPr>
          <w:b/>
        </w:rPr>
        <w:t>E. 1</w:t>
      </w:r>
    </w:p>
    <w:p>
      <w:r>
        <w:t>Par prononcé du 19 octobre 2023, la Présidente du Tribunal civil de l’arrondissement de Lausanne (ci-après : la présidente) a relevé Me R.________ de son mandat de conseil d’office de F.________ (I), a fixé l’indemnité de conseil d’office de F.________, allouée à Me R.________, à 9'719 fr. 65, débours et TVA compris, pour la période du 24 septembre 2021 au 2 septembre 2022 (II), a dit que la bénéficiaire de l’assistance judiciaire était tenue au remboursement de l’indemnité allouée à son conseil d’office, provisoirement laissée à la charge de l’Etat (III) et a dit que la prononcé était rendu sans frais (IV). La présidente a arrêté l’indemnité d’office de Me R.________ en se fondant sur sa liste des opérations du 2 septembre 2022. Après avoir examiné et évalué ces opérations sur la base du dossier, elle a considéré que sur le temps de travail revendiqué, à hauteur de 61 heures et 17 minutes, 47 heures et 45 minutes étaient indemnisables. Compte tenu du tarif horaire de 180 fr., du forfait de 5 % pour les débours et de la TVA à 7.7 % sur le tout, l’indemnité d’office a été arrêtée à 9'719 fr. 65.</w:t>
      </w:r>
    </w:p>
    <w:p>
      <w:r>
        <w:rPr>
          <w:b/>
        </w:rPr>
        <w:t>E. 2</w:t>
      </w:r>
    </w:p>
    <w:p>
      <w:r>
        <w:t>Par acte du 3 novembre 2023 adressé au Tribunal d’arrondissement de Lausanne, F.________ (ci-après : la recourante) a interjeté recours de ce prononcé.</w:t>
      </w:r>
    </w:p>
    <w:p>
      <w:r>
        <w:rPr>
          <w:b/>
        </w:rPr>
        <w:t>E. 3</w:t>
      </w:r>
    </w:p>
    <w:p>
      <w:r>
        <w:t>let. b CPC seraient réunies (CREC 4 juillet 2022/163 ; Jeandin, CR-CPC, n.</w:t>
      </w:r>
    </w:p>
    <w:p>
      <w:r>
        <w:rPr>
          <w:b/>
        </w:rPr>
        <w:t>E. 3.1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2e éd., Bâle 2019 [cité ci-après : CR-CPC], n. 21 ad art. 122 CPC).</w:t>
      </w:r>
    </w:p>
    <w:p>
      <w:r>
        <w:t>- 3 -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interjeter recours est de dix jours (art. 321 al. 2 CPC). Le délai est respecté lorsque l’acte est acheminé en temps utile auprès de l’autorité de première instance, laquelle doit le transmettre sans délai à l’autorité de deuxième instance compétente (ATF 140 III 636 consid. 3.6). Etant tenu de rembourser l’assistance judiciaire dès qu’il est en mesure de le faire selon l’art. 123 al. 1 CPC, le bénéficiaire de l’assistance judiciaire dispose à titre personnel d’un intérêt à recourir contre la rémunération équitable de son conseil d’office, accordée selon l’art. 122 al. 1 let. a CPC (CREC 4 octobre 2022/231 consid. 3.1.1 et l’arrêt cité ; Tappy, op. cit., n. 22 ad art. 122 CPC).</w:t>
      </w:r>
    </w:p>
    <w:p>
      <w:r>
        <w:rPr>
          <w:b/>
        </w:rPr>
        <w:t>E. 3.2.1</w:t>
      </w:r>
    </w:p>
    <w:p>
      <w:r>
        <w:t>Pour être recevable, le recours doit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t>- 4 -</w:t>
      </w:r>
    </w:p>
    <w:p>
      <w:r>
        <w:rPr>
          <w:b/>
        </w:rPr>
        <w:t>E. 3.2.2</w:t>
      </w:r>
    </w:p>
    <w:p>
      <w:r>
        <w:t>Pour être recevable, 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w:t>
      </w:r>
    </w:p>
    <w:p>
      <w:r>
        <w:rPr>
          <w:b/>
        </w:rPr>
        <w:t>E. 3.2.3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L’art. 132 CPC ne permet pas non plus de compléter ou d’améliorer une motivation insuffisante, ce même si le mémoire émane d’une personne sans formation juridique (TF 137 III 617 consid. 6.4 ; TF 5A_368/2018, loc. cit. ; TF 4A_375/2015 du 26 janvier 2016 consid. 7.2, non publié in ATF 142 III 102).</w:t>
      </w:r>
    </w:p>
    <w:p>
      <w:r>
        <w:rPr>
          <w:b/>
        </w:rPr>
        <w:t>E. 3.3</w:t>
      </w:r>
    </w:p>
    <w:p>
      <w:r>
        <w:t>En l’espèce, le recours a été déposé en temps utile auprès de l’autorité précédente par une personne qui y a un intérêt (art. 59 al. 2 let. a CPC). Cela étant, la motivation du recours est difficilement compréhensible et indigente. La recourante fait valoir qu’elle aurait d’ores et déjà versé 11'957 fr. 90 à Me R.________ et semble se plaindre de la</w:t>
      </w:r>
    </w:p>
    <w:p>
      <w:r>
        <w:t>- 5 - manière dont son ancien conseil s’est acquitté de sa mission. Cela étant, il lui appartenait d’expliquer en quoi les heures facturées par son ancienne avocate et indemnisées par la présidente seraient infondées et de le démontrer, ce qu’elle ne fait pas. Le recours est non seulement dépourvu de toute motivation contre le prononcé attaqué, mais ne contient pas non plus de conclusion, en particulier chiffrée, et ne permet pas de déterminer quel serait, selon la recourante, le montant de l’indemnité qu’elle estime justifiée. On ignore en définitive ce qu’elle entend obtenir en deuxième instance et pour quels motifs. Par ailleurs, en tant qu’elle réclame à Me R.________ le paiement de la somme de 8'000 fr., prétendument prélevée par la susnommée sur un montant destiné à la recourante, celle- ci fait valoir un moyen qui sort manifestement du cadre du prononcé attaqué et, partant, de la compétence de l’autorité de céans. Il n’y a pas lieu d’accorder à la recourante un délai pour compléter sa motivation et ses conclusions, le vice étant irrémédiable. 4. Au vu de ce qui précède, le recours doit être déclaré irrecevable en application de l’art. 322 al. 1 in fine CPC et le prononcé confirmé. Le présent arrêt peut être rendu sans frais judiciaires (art. 11 TFJC [tarif des frais judiciaires civils du 28 septembre 2010 ; BLV 270.11.5]) ni dépens de deuxième instance, Me R.________ n’ayant pas été invitée à se déterminer sur le recours. Par ces motifs, la Chambre des recours civile du Tribunal cantonal, en application de l’art. 322 al. 1 CPC, prononce : I. Le recours est irrecevable.</w:t>
      </w:r>
    </w:p>
    <w:p>
      <w:r>
        <w:t>- 6 - II. L’arrêt, rendu sans frais, est exécutoire. La présidente : La greffière : Du L’arrêt qui précède, dont la rédaction a été approuvée à huis clos, est notifié à : - F.________, - Me R.________.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t>- 7 -</w:t>
      </w:r>
    </w:p>
    <w:p>
      <w:r>
        <w:rPr>
          <w:b/>
        </w:rPr>
        <w:t>E. 5</w:t>
      </w:r>
    </w:p>
    <w:p>
      <w:r>
        <w:t>ad art. 321 CPC). Dès lors, les conclusions doivent être rédigées d’une manière suffisamment précise pour pouvoir être reprises telles quelles dans le dispositif de la décision à rendre (ATF 137 Ill 617 consid. 4.3 et 4.4 et les références citées, in SJ 2012 1373 ; TF 4D_71/2020 du 23 février 2021 consid. 3.1). Il s’ensuit qu’en matière pécuniaire, les conclusions doivent être chiffrées (ATF 137 III 617 consid. 4.3 et 4.4 et les références citées, SJ 2012 I 373 ; CREC 11 février 2020/41). L’exigence de conclusions chiffrées sous peine d’irrecevabilité du recours contre un prononcé sur frais ne constitue pas un formalisme excessif (cf. TF 5A_872/2022 du 6 juin 2023 consid. 3.3.1 en matière de dépens ; TF 4D_61/2011 du 26 octobre 2011 consid. 2.3, in Revue suisse de procédure civile 2012 p.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