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TD21.025178 vom 1. Juli 2022</w:t>
      </w:r>
    </w:p>
    <w:p>
      <w:r>
        <w:t>VD Tribunal cantonal, 2022-07-01, FR</w:t>
      </w:r>
    </w:p>
    <w:p>
      <w:r>
        <w:rPr>
          <w:b/>
        </w:rPr>
        <w:t xml:space="preserve">Quelle: </w:t>
      </w:r>
      <w:r>
        <w:t>https://mcp.opencaselaw.ch/entscheid/vd_gerichte_TD21.025178</w:t>
      </w:r>
    </w:p>
    <w:p>
      <w:r>
        <w:t>FR: VD_GERICHTE TD21.025178 du 1 juillet 2022</w:t>
      </w:r>
    </w:p>
    <w:p>
      <w:r>
        <w:t>IT: VD_GERICHTE TD21.025178 del 1 luglio 2022</w:t>
      </w:r>
    </w:p>
    <w:p>
      <w:pPr>
        <w:pStyle w:val="Heading2"/>
      </w:pPr>
      <w:r>
        <w:t>Erwägungen</w:t>
      </w:r>
    </w:p>
    <w:p>
      <w:r>
        <w:rPr>
          <w:b/>
        </w:rPr>
        <w:t>E. 3.1</w:t>
      </w:r>
    </w:p>
    <w:p>
      <w:r>
        <w:t>L’appelant fait grief au premier juge d’avoir subordonné le prononcé d’une contribution d’entretien à l’existence d’une condition d’urgence au sens des art. 261 ss CPC et par ce biais, il aurait violé l’essence de l’obligation d’entretien contenue à l’art. 163 CC, ainsi que les art. 176 al. 1 ch. 1 CC, 261, 271 à 273 et 276 CPC. Il reproche également au premier juge d’avoir considéré que sa situation n’était pas délicate et soutient qu’il aurait droit au maintien du train de vie qui était le sien durant la vie commune.</w:t>
      </w:r>
    </w:p>
    <w:p>
      <w:r>
        <w:rPr>
          <w:b/>
        </w:rPr>
        <w:t>E. 3.2</w:t>
      </w:r>
    </w:p>
    <w:p>
      <w:r>
        <w:t>Au sens de l’art. 276 al. 1 CPC, le tribunal ordonne les mesures provisionnelles nécessaires. Les dispositions régissant la protection de l’union conjugale sont applicables par analogie. La contribution d'entretien due par un conjoint à l'autre dans le cadre de mesures provisionnelles pendant la procédure de divorce se détermine conformément aux art. 163 et 176 al. 1 ch. 1 CC, applicables par analogie au vu de l'art. 276 al. 1 CPC (TF 5A_970/2017 du 7 juin 2018 consid. 3.1). Même lorsqu'on ne peut plus sérieusement compter sur la reprise de la vie commune, ce que le juge du fait doit constater, l'art. 163 CC demeure la cause de l'obligation d'entretien réciproque des époux en mesures protectrices de l'union conjugale comme en mesures provisionnelles de divorce ou d’annulation de mariage (ATF 145 III 36 consid. 2.4 ; ATF 140 III 337 consid. 4.2.1, JdT 2015 II 227 ; ATF 138 III 97 consid. 2.2, JdT 2012 II 479 ; 137 III 385 consid. 3.1).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w:t>
      </w:r>
    </w:p>
    <w:p>
      <w:r>
        <w:t>- 10 - Au cours de la procédure de mesures protectrices de l’union conjugale, respectivement de mesures provisionnelles déjà, la prétention à une contribution d’entretien est soumise à la condition que le conjoint demandeur ne soit pas en mesure de pourvoir lui-même, par ses propres revenus, à son entretien (TF 5A_592/2018 du 13 février 2019 consid. 3.1 ; TF 5A_239/2017 du 17 septembre 2017 consid. 2.1). Le juge doit ainsi tenir compte, d’une part, de la protection que le mariage confère à l’époux créancier et d’autre part, de l’obligation de cet époux de se préparer, dans la mesure de ce qui est exigible de lui, à la dissolution du mariage (Stoudmann, Le divorce en pratique, Entretien du conjoint et des enfants – Partage de la prévoyance professionnelle, Lausanne 2021, p. 232 et la réf. citée). Dès lors, pour fixer la contribution d'entretien,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 ATF 130 III 537 consid. 3.2). Dans le cadre des mesures provisionnelles, le principe de la solidarité signifie que les conjoints sont responsables l’un envers l’autre des effets que le partage des tâches adopté durant le mariage a pu avoir sur la capacité de gain de l’autre époux. Il ne fonde pas un droit à des contributions d’entretien si les conjoints étaient convenus que chacun d’eux travaillerait et financerait lui-même son train de vie (cf. TF 5A_776/2019 du 27 octobre 2020 consid. 9.2).</w:t>
      </w:r>
    </w:p>
    <w:p>
      <w:r>
        <w:rPr>
          <w:b/>
        </w:rPr>
        <w:t>E. 3.3</w:t>
      </w:r>
    </w:p>
    <w:p>
      <w:r>
        <w:t>- 11 -</w:t>
      </w:r>
    </w:p>
    <w:p>
      <w:r>
        <w:rPr>
          <w:b/>
        </w:rPr>
        <w:t>E. 3.3.1</w:t>
      </w:r>
    </w:p>
    <w:p>
      <w:r>
        <w:t>Comme le soutient l’appelant, les conditions de l’urgence et du préjudice difficilement réparable ne sont pas pertinentes dans l’examen d’une requête de mesures provisionnelles déposée dans le cadre d’une procédure de divorce, cela même si des mesures protectrices de l’union conjugale n’étaient pas en vigueur jusque là. Il s’agit néanmoins, conformément à l’art. 276 al. 1 CPC, d’appliquer les dispositions régissant les mesures protectrices de l’union conjugale et par analogie les art. 163 et 176 al. 1 ch. 1 CC afin d’examiner si une contribution d’entretien entre les époux est due, et le cas échéant, quel en serait son montant.</w:t>
      </w:r>
    </w:p>
    <w:p>
      <w:r>
        <w:rPr>
          <w:b/>
        </w:rPr>
        <w:t>E. 3.3.2</w:t>
      </w:r>
    </w:p>
    <w:p>
      <w:r>
        <w:t>Il ressort des déclarations des parties à l’audience d’appel qu’elles étaient financièrement indépendantes durant la vie commune, en alternant notamment le paiement des dépenses ou en les répartissant par moitié entre elles. Dès lors, il apparait que la convention des époux était celle d'une indépendance totale, chacun pourvoyant à ses propres besoins, vivant de manière autonome l’une par rapport à l'autre et le cas échéant, partageant les charges communes. Aucune des parties n’a cessé ou diminué son activité lucrative du temps de la vie commune. A cela s’ajoute que c’est l’appelant qui a volontairement quitté son emploi auprès d’E.________ – qui lui procurait des revenus adéquats – pour se mettre au service d’un groupe créé par l’une de ses connaissances, cela dans le cadre d’une activité dont il savait d’emblée qu’il y avait de forts risques qu’elle cesse après une année. Il a dès lors sciemment pris le risque de voir ses revenus diminuer à l’issue de cette activité. On ne peut dès lors faire peser sur l’intimée, qui n’était pas au courant de la démission de son époux, ce dernier l’ayant mise devant le fait accompli, les risques financiers pris par celui-ci durant la vie commune. En conséquence, au vu de l’indépendance financière des parties durant la vie commune et du fait qu’il n'y a, au moment de statuer sur les mesures provisionnelles, aucun fait nouveau justifiant de modifier cette convention, l’appelant doit être débouté de ses prétentions en paiement d’une contribution d'entretien pour la période du 1er août 2020 au 31 décembre 2021.</w:t>
      </w:r>
    </w:p>
    <w:p>
      <w:r>
        <w:t>- 12 - S’agissant du grief ayant trait à une constatation inexacte des faits, il n’y pas lieu en l’état d’établir les charges des époux puisqu’il a été considéré qu’elles étaient financièrement indépendantes durant la vie commune et qu’en conséquence, elles ne se doivent aucune contribution d’entretien.</w:t>
      </w:r>
    </w:p>
    <w:p>
      <w:r>
        <w:rPr>
          <w:b/>
        </w:rPr>
        <w:t>E. 4.1</w:t>
      </w:r>
    </w:p>
    <w:p>
      <w:r>
        <w:t>En définitive, l’appel doit être rejeté et l’ordonnance confirmée.</w:t>
      </w:r>
    </w:p>
    <w:p>
      <w:r>
        <w:rPr>
          <w:b/>
        </w:rPr>
        <w:t>E. 4.2</w:t>
      </w:r>
    </w:p>
    <w:p>
      <w:r>
        <w:t>Vu l’issue de l’appel, les frais judiciaires, arrêtés à 600 fr. (art. 65 al. 2 TFJC [Tarif des frais judiciaires civils du 28 septembre 2010 ; BLV 270.11.5]), seront mis à la charge de l’appelant qui succombe (art. 106 al. 1 CPC).</w:t>
      </w:r>
    </w:p>
    <w:p>
      <w:r>
        <w:rPr>
          <w:b/>
        </w:rPr>
        <w:t>E. 4.3</w:t>
      </w:r>
    </w:p>
    <w:p>
      <w:r>
        <w:t>L’appelant devra en outre verser à l’intimée de pleins dépens de deuxième instance, évalués à 2’000 francs. Par ces motifs, le juge unique de la Cour d’appel civile prononce : I. L’appel est rejeté. II. L’ordonnance est confirmée. III. Les frais judiciaires de deuxième instance, arrêtés à 600 fr. (six cents francs), sont mis à la charge de l’appelant Q.________.</w:t>
      </w:r>
    </w:p>
    <w:p>
      <w:r>
        <w:t>- 13 - IV. L’appelant Q.________ soit verser à l’intimée W.________ la somme de 2'000 fr. (deux mille francs) à titre de dépens de deuxième instance. V. L’arrêt est exécutoire. Le juge unique : La greffière : Du Le présent arrêt, dont la rédaction a été approuvée à huis clos, est notifié en expédition complète à : - Me Cédric Aguet (pour Q.________), - Me Isabelle Jaques (pour W.________),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- 14 -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