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TD21.016368 vom 31. Mai 2022</w:t>
      </w:r>
    </w:p>
    <w:p>
      <w:r>
        <w:t>VD Tribunal cantonal, 2022-05-31, FR</w:t>
      </w:r>
    </w:p>
    <w:p>
      <w:r>
        <w:rPr>
          <w:b/>
        </w:rPr>
        <w:t xml:space="preserve">Quelle: </w:t>
      </w:r>
      <w:r>
        <w:t>https://mcp.opencaselaw.ch/entscheid/vd_gerichte_TD21.016368</w:t>
      </w:r>
    </w:p>
    <w:p>
      <w:r>
        <w:t>FR: VD_GERICHTE TD21.016368 du 31 mai 2022</w:t>
      </w:r>
    </w:p>
    <w:p>
      <w:r>
        <w:t>IT: VD_GERICHTE TD21.016368 del 31 maggio 2022</w:t>
      </w:r>
    </w:p>
    <w:p>
      <w:pPr>
        <w:pStyle w:val="Heading2"/>
      </w:pPr>
      <w:r>
        <w:t>Erwägungen</w:t>
      </w:r>
    </w:p>
    <w:p>
      <w:r>
        <w:rPr>
          <w:b/>
        </w:rPr>
        <w:t>E. 3.1</w:t>
      </w:r>
    </w:p>
    <w:p>
      <w:r>
        <w:t>L'appelant se plaint de l'appréciation des preuves et de l'établissement des faits sur plusieurs points.</w:t>
      </w:r>
    </w:p>
    <w:p>
      <w:r>
        <w:rPr>
          <w:b/>
        </w:rPr>
        <w:t>E. 3.2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Commentaire romand, Code de procédure civile, 2e éd., Bâle 2019 [CR CPC], op. cit.,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Un témoignage écrit ne constitue pas l'un des moyens de preuve exhaustivement prévus à l'art. 168 CPC, d’autant moins lorsqu’il est rédigé en vue de l’appel (CACI 4 mai 2021/212 ; CACI 13 mai 2020/177 ; CREC 13 octobre 2016/416 ; cf. TF 5A_957/2012 du 28 mai 2013 consid. 2). La valeur probante d’un témoignage écrit concernant le sort des enfants, émanant de surcroît de personnes proches de la partie doit être appréciée avec une certaine réserve (TF 5A_438/2015 du 25 juin 2015 consid. 3.4). Une déclaration écrite ne permet en effet pas de vérifier les liens que son auteur peut avoir avec une partie, contrairement à ce</w:t>
      </w:r>
    </w:p>
    <w:p>
      <w:r>
        <w:t>- 16 - que prévoit, au sujet des témoignages, l’art. 172 let. b CPC (CACI 10 mars 2021/112 ; CACI 6 août 2021/376).</w:t>
      </w:r>
    </w:p>
    <w:p>
      <w:r>
        <w:rPr>
          <w:b/>
        </w:rPr>
        <w:t>E. 3.3.1</w:t>
      </w:r>
    </w:p>
    <w:p>
      <w:r>
        <w:t>et 3.3.2) à savoir le comportement manipulateur de l'appelant et le stress qu'il induit chez l'intimée. Le psychologue [...] a notamment préconisé de limiter les contacts entre les parties. L'incapacité de cette dernière à entreprendre la thérapie familiale préconisée doit être mise en lien avec les difficultés rencontrées dans le cadre de la séparation et certains comportements de l'appelant, tels que décrits aux considérants précédents. Dans ces conditions, on ne saurait reprocher à l'intimée d'être à l'origine du blocage de la thérapie familiale préconisée.</w:t>
      </w:r>
    </w:p>
    <w:p>
      <w:r>
        <w:rPr>
          <w:b/>
        </w:rPr>
        <w:t>E. 3.3.2</w:t>
      </w:r>
    </w:p>
    <w:p>
      <w:r>
        <w:t>L'appelant conteste l'état de stress post-traumatique de l'intimée. Il invoque notamment le fait qu'aucun certificat médical n'a été produit à ce sujet, hormis les constatations de deux psychologues. Il en veut pour preuve le fait que l'intimée ait toujours travaillé à 100 %. A ce stade de la procédure, les pièces au dossier – en particulier les rapports de [...] et [...] – sont suffisantes pour considérer l'état de stress post-traumatique de l'intimée comme vraisemblable. Si ces deux professionnels ne sont certes pas médecins, il s'agit toutefois de professionnels dans leur domaine. A cet égard, le rapport du 10 octobre 2021 établi par le second est éloquent sur l'état psychologique de l'intimée. On a déjà relevé également ci-dessus (cf. consid. 3.3.1) le caractère manipulateur de l'appelant. Ainsi, à ce stade de la procédure, les documents figurant au dossier permettent d'imputer le stress subi par l'intimée aux difficultés rencontrées avec l'appelant.</w:t>
      </w:r>
    </w:p>
    <w:p>
      <w:r>
        <w:rPr>
          <w:b/>
        </w:rPr>
        <w:t>E. 3.3.3</w:t>
      </w:r>
    </w:p>
    <w:p>
      <w:r>
        <w:t>Enfin, l'appelant soutient que le blocage de la thérapie familiale serait imputable à la seule intimée.</w:t>
      </w:r>
    </w:p>
    <w:p>
      <w:r>
        <w:t>- 19 - Ce grief revient à nier les faits retenus ci-dessus (cf. consid.</w:t>
      </w:r>
    </w:p>
    <w:p>
      <w:r>
        <w:rPr>
          <w:b/>
        </w:rPr>
        <w:t>E. 4.1</w:t>
      </w:r>
    </w:p>
    <w:p>
      <w:r>
        <w:t>L'appelant requiert l'instauration d'une garde alternée. Il relève que la thérapie familiale ne pourrait pas avancer du seul fait de l'intimée, que la communication entre les parents serait suffisamment bonne et viable, qu'ils échangeraient toutes les informations importantes concernant leur fille, que les deux parties disposeraient de la capacité éducative nécessaire à l'instauration d'une garde alternée, qu'avant la séparation, la prise en charge de l'enfant aurait été répartie à part égale entre les parents et qu'il disposerait de beaucoup de flexibilité dans l'organisation de ses journées.</w:t>
      </w:r>
    </w:p>
    <w:p>
      <w:r>
        <w:rPr>
          <w:b/>
        </w:rPr>
        <w:t>E. 4.2.1</w:t>
      </w:r>
    </w:p>
    <w:p>
      <w:r>
        <w:t>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(TF 5A_64/2018 du 14 août 2018 consid. 3.1 et les références citées).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w:t>
      </w:r>
    </w:p>
    <w:p>
      <w:r>
        <w:t>- 20 -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 ATF 141 III 376 consid. 3.3.1 ; ATF 129 III 60 consid. 2 ; TF 5A_842/2015 du 26 mai 2016 consid. 2.4.2, non publié à ATF 142 III 518 ; TF 5A_617/2017 du 28 septembre 2017 consid. 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matière de mesures provisionnelles de réglementation, il n'est exigé ni une urgence particulière, ni la menace d'une atteinte ou d'un préjudice difficilement réparable (Juge délégué CACI 30 mars 2020/124). La partie requérante doit fonder sa demande en modification sur de vrais nova (ATF 143 III 42 consid. 5.2-5.3 ; TF 5A_42/2019 du 18 avril 2019 consid. 3.2), c'est-à-dire des faits ou moyens de preuve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w:t>
      </w:r>
    </w:p>
    <w:p>
      <w:r>
        <w:t>- 21 - les invoque, mais qui n'ont alors pas été invoqués par celle-ci faute de pouvoir les prouver (ATF 142 III 42 consid. 5.2 ; TF 5A_18/2016 du 24 novembre 2016 consid. 2.5). En d'autres termes, la voie de la modification est ouverte soit lorsque le fait allégué est un vrai nova, soit lorsqu'il constitue un pseudo nova, mais que le moyen de preuve apte à l'établir est un vrai nova (TF 5A_154/2019 du 1er octobre 2019 consid. 4.1). Le moment déterminant pour apprécier si des circonstances nouvelles se sont produites est la date du dépôt de la requête de modification (ATF 137 III 604 consid. 4.1.1 et la référence citée ; TF 5A_611/2019 du 29 avril 2020 consid. 4.1 ; TF 5A_400/2018 du 28 août 2018 consid. 3 ; TF 5A_788/2017 du 2 juillet 2018 consid. 5.1). A titre d'exception, l'évolution prévisible de la situation doit toutefois être prise en considération dans l'examen de l'entrée en matière, cela afin d'éviter autant que possible des procédures de modification ultérieures (ATF 120 II 285 consid. 4b ; 5A_874/2019 du 22 juin 2020 consid. 3.2 ; TF 5A_373/2015 du 2 juin 2016 consid. 4.3.1, FamPra.ch 2016 p. 999).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(TF 5A 787/2017 du 28 novembre 2017 consid. 5.1 et les références citées ; Juge délégué CACI 10 janvier 2020/12 consid. 3.1.1).</w:t>
      </w:r>
    </w:p>
    <w:p>
      <w:r>
        <w:rPr>
          <w:b/>
        </w:rPr>
        <w:t>E. 4.2.2</w:t>
      </w:r>
    </w:p>
    <w:p>
      <w:r>
        <w:t>En tant que des enfants mineurs sont concernés, le juge ordonne les mesures nécessaires d'après les dispositions sur les effets de la filiation (art. 176 al. 3 CC, applicable par renvoi de l'art. 276 al. 1 CPC). Aux termes de l'art. 298 al. 2ter CC, lorsque l'autorité parentale est exercée conjointement, le juge examine, selon le bien de l'enfant, la possibilité de la garde alternée, si le père, la mère ou l'enfant le demande. En matière d'attribution des droits parentaux, le bien de l'enfant constitue en effet la règle fondamentale (ATF 141 III 328 consid.</w:t>
      </w:r>
    </w:p>
    <w:p>
      <w:r>
        <w:t>- 22 - 5.4), les intérêts des parents devant être relégués au second plan (ATF 142 Ill 617 consid. 3.2.3 et les références).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5A_11/2020 du 13 mai 2020 consid. 3.3.3.1 et les arrêts cités ; TF 5A_991/2019 du 19 janvier 2021 consid. 5.1.2 ; TF 5A_79312020 du 24 février 2021 consid. 5.1.2 ; TF 5A 682/2020 du 21 juin 2021 consid. 2.1).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 ; sur le tout TF 5A_46/2015 du 26 mai 2015 consid. 4.4, FamPra.ch 2015 p. 987).</w:t>
      </w:r>
    </w:p>
    <w:p>
      <w:r>
        <w:t>- 23 -</w:t>
      </w:r>
    </w:p>
    <w:p>
      <w:r>
        <w:rPr>
          <w:b/>
        </w:rPr>
        <w:t>E. 4.3.1</w:t>
      </w:r>
    </w:p>
    <w:p>
      <w:r>
        <w:t>En l'espèce, par prononcé de mesures protectrices de l'union conjugale du 17 avril 2019, la garde de l'enfant B.________ a été confiée à sa mère, le père bénéficiant d'un droit de visite. S'agissant de la garde partagée, la présidente du tribunal d'arrondissement avait relevé que la plupart des conditions pour une garde alternée était remplie, à savoir que les parents résidaient à proximité l'un de l'autre et que chacun disposait des capacités éducatives nécessaires pour s'occuper de l'enfant ; elle a cependant souligné, s'agissant de la communication entre les parents, que les tensions au sein du couple et les reproches réciproques étaient de plus en plus nombreux et intenses, ce qui ne favorisait pas un environnement propice à la mise en place d'une garde alternée. Par prononcé de mesures protectrices de l'union conjugale du</w:t>
      </w:r>
    </w:p>
    <w:p>
      <w:r>
        <w:rPr>
          <w:b/>
        </w:rPr>
        <w:t>E. 4.3.2</w:t>
      </w:r>
    </w:p>
    <w:p>
      <w:r>
        <w:t>Dans un rapport du 13 octobre 2020, la Dre [...] avait indiqué que les parents avaient de bonnes capacités parentales et une relation proche avec leur fille, qu'un travail de coparentalité serait indiqué et même nécessaire pour augmenter le sens de l'impact que leur conflit pourrait avoir sur leur fille, que ce travail pourrait aider les parents à trouver des moyens d'accepter leurs différends dans la coparentalité, afin que l'enfant puisse continuer à avoir des relations fluides avec ses deux parents. Le médecin avait toutefois souligné que la prise en charge thérapeutique était rendue complexe, voire impossible, par les enjeux juridiques existants, mais qu'une fois les décisions de garde définitivement réglées, elle resterait à disposition pour la suite du travail thérapeutique, qui lui semblait indispensable. Quelques dix mois plus tard, soit le 12 août 2021, ce médecin a expliqué que les résultats de son accompagnement psychothérapeutique restaient limités, que la méfiance mutuelle persistait entre les deux parents, qu'il était regrettable que depuis le début de la prise en charge en mars 2020, les deux parents ne soient vus que séparément – à l'exception de deux séances communes via zoom –, que la mère ne se sentait pas prête pour être reçue avec le père de sa fille. La Dre [...] a relevé que pour espérer une avancée thérapeutique, il faudrait en premier lieu une décision juridique concernant le mode de garde et s'est référées aux constatations de son rapport du 13 octobre 2020 selon lesquelles « la prise en charge thérapeutique [était] rendue complexe voire impossible par les enjeux juridiques actuels », cette constatation étant toujours d'actualité. La spécialiste a conclu que l'absence d'accord sur le mode de garde restait le frein principal pour un véritable travail thérapeutique, mais que l'enfant maintenait cependant une relation de qualité avec chacun de ses deux parents, ce qui démontrait la bonne préoccupation parentale de ceux-ci.</w:t>
      </w:r>
    </w:p>
    <w:p>
      <w:r>
        <w:t>- 25 - Il résulte de ce qui précède que la thérapie familiale préconisée n'a pas abouti. Il est ainsi évident que les parties n'ont pu améliorer leur communication ni régler leurs conflits par le biais de cette thérapie, ce qui était une prémisse pour instaurer la garde alternée revendiquée par l'appelant.</w:t>
      </w:r>
    </w:p>
    <w:p>
      <w:r>
        <w:rPr>
          <w:b/>
        </w:rPr>
        <w:t>E. 4.3.3</w:t>
      </w:r>
    </w:p>
    <w:p>
      <w:r>
        <w:t>Il convient d'examiner s'il existe des éléments nouveaux permettant de conclure à une meilleure collaboration entre les parties, malgré l'échec de la thérapie familiale. Il résulte du rapport du 24 septembre 2021 de [...], le psychologue traitant de l'intimée depuis début 2020, que cette dernière était sous l'emprise émotionnelle de l'appelant lorsqu'elle était en contact avec lui. De même, dans un rapport du 10 octobre 2021, le psychologue a relevé certains problèmes rencontrés entre les parties et a préconisé de limiter les contacts entre les époux, sauf à entreprendre une médiation – qui devait si possible être menée séparément –dont le but serait de gérer les contacts entre les parents, mais aussi la gestion des relations avec leur fille. Sur la base des constatations de ce praticien, on constate que le stress ressenti par l'intimée perdure. Dans un courrier du 24 février 2021, [...], psychologue spécialiste en psychothérapie FSP qui a rencontré à cinq reprises entre octobre et décembre 2020 l'enfant des parties, toujours accompagnée de sa mère, a constaté que l'équilibre quant à la situation familiale pouvait se voir facilement rompu vu le jeune âge de l'enfant et que le conflit parental ne semblait pas encore trouver d'apaisement. La spécialiste a conseillé de maintenir l'enfant en dehors du conflit parental et d'éviter qu'elle devienne un enjeu pour régler les griefs conjugaux. Ces constatations permettent de retenir que le conflit est encore vif. Plusieurs courriers échangés entre les conseils des parties – notamment les 9 novembre 2020, 10 février, 29 avril et 28 juin 2021 – démontrent l'absence de communication entre les parties sur des</w:t>
      </w:r>
    </w:p>
    <w:p>
      <w:r>
        <w:t>- 26 - questions telles que le logement de l'appelant, des question financières liées à la séparation, le ressenti de l'enfant à la suite de la visite chez son père ou les difficultés de l'intimée de s'entretenir avec sa fille lors de l'exercice du droit de visite. Les parties ont alors dû passer par l'intermédiaire de leurs conseils respectifs pour aborder ces problématiques. Sans remettre en cause les capacités éducatives de chacune des parties à s'occuper de l'enfant, ces différents éléments soulignent que les conflits et tensions persistent entre les parties. Pour ces motifs, la capacité à communiquer et à coopérer des parties est en l'état insuffisante pour entrer en matière sur la garde alternée réclamée par l'appelant.</w:t>
      </w:r>
    </w:p>
    <w:p>
      <w:r>
        <w:rPr>
          <w:b/>
        </w:rPr>
        <w:t>E. 5</w:t>
      </w:r>
    </w:p>
    <w:p>
      <w:r>
        <w:t>août 2020, la présidente du tribunal d'arrondissement a rejeté la requête de l'appelant tendant notamment à l'instauration d'une garde partagée. Elle a considéré, en bref, que les parties avaient encore du mal à prendre conscience de ce que signifiait avoir la volonté de communiquer et de collaborer dans la prise en charge de l'enfant, que le simple fait de transmettre des informations à l'autre parent ne signifiait pas encore établir une saine communication pour le bien de l'enfant, que la communication nécessitait pour les parents d'avoir la capacité de trouver seuls un compromis entre des positions divergentes sur les questions relatives à l'enfant, ce que les parties n'étaient pas capables de faire en raison de leur vécu, leur ressenti et leur incompréhension mutuelle. La présidente a également constaté que les revendications et animosités entre les parties étaient encore trop présentes pour l'instauration d'une garde alternée et que si celles-ci se révélaient incapables d'entamer la thérapie mise en place auprès de la Dre [...], la garde alternée irait manifestement à l'encontre du bien de l'enfant, notamment vu la nécessité d'un suivi pédopsychiatrique pour celle-ci. Par convention signée lors de l'audience d'appel du 30 novembre 2020, les parties sont convenues que la garde de fait en faveur</w:t>
      </w:r>
    </w:p>
    <w:p>
      <w:r>
        <w:t>- 24 - de la mère pourrait faire l'objet d'une réévaluation ultérieure en fonction de la thérapie familiale entreprise par les parties [réd.: chiffre IV de la convention]. A cette occasion, les parties s'étaient en effet engagées à entreprendre une thérapie familiale.</w:t>
      </w:r>
    </w:p>
    <w:p>
      <w:r>
        <w:rPr>
          <w:b/>
        </w:rPr>
        <w:t>E. 5.1</w:t>
      </w:r>
    </w:p>
    <w:p>
      <w:r>
        <w:t>Pour ces motifs, l'appel, manifestement mal fondé (art. 312 al. 1 CPC), doit être rejeté et l'ordonnance querellée confirmée.</w:t>
      </w:r>
    </w:p>
    <w:p>
      <w:r>
        <w:rPr>
          <w:b/>
        </w:rPr>
        <w:t>E. 5.2</w:t>
      </w:r>
    </w:p>
    <w:p>
      <w:r>
        <w:t>Vu l'issue du litige, les frais judiciaires de deuxième instance, arrêtés à 600 fr. (art. 65 al. 2 TFJC [tarif des frais judiciaires civils du 28 septembre 2010 ; BLV 270.11.5]), doivent mis à la charge de l'appelant qui succombe entièrement (art. 106 al. 1 CPC). L'intimée n'ayant pas été invitée à se déterminer, il n'y a pas lieu de lui allouer de dépens pour la procédure d'appel. Par ces motifs, La Juge déléguée de la Cour d’appel civile prononce : I. L’appel est rejeté. II. L'ordonnance attaquée est confirmée.</w:t>
      </w:r>
    </w:p>
    <w:p>
      <w:r>
        <w:t>- 27 - III. Les frais judiciaires de deuxième instance, arrêtés à 600 fr. (six cents francs), sont mis à la charge de l'appelant H.________. IV. L'arrêt est exécutoire. La juge déléguée : La greffière : Du Le présent arrêt, dont la rédaction a été approuvée à huis clos, est notifié en expédition complète à : - Me Anaïs Bordard (pour H.________), - Me Nicolas Mossaz (pour S.________),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