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TD21.015785 vom 16. März 2022</w:t>
      </w:r>
    </w:p>
    <w:p>
      <w:r>
        <w:t>VD Tribunal cantonal, 2022-03-16, FR</w:t>
      </w:r>
    </w:p>
    <w:p>
      <w:r>
        <w:rPr>
          <w:b/>
        </w:rPr>
        <w:t xml:space="preserve">Quelle: </w:t>
      </w:r>
      <w:r>
        <w:t>https://mcp.opencaselaw.ch/entscheid/vd_gerichte_TD21.015785</w:t>
      </w:r>
    </w:p>
    <w:p>
      <w:r>
        <w:t>FR: VD_GERICHTE TD21.015785 du 16 mars 2022</w:t>
      </w:r>
    </w:p>
    <w:p>
      <w:r>
        <w:t>IT: VD_GERICHTE TD21.015785 del 16 marzo 2022</w:t>
      </w:r>
    </w:p>
    <w:p>
      <w:pPr>
        <w:pStyle w:val="Heading2"/>
      </w:pPr>
      <w:r>
        <w:t>Erwägungen</w:t>
      </w:r>
    </w:p>
    <w:p>
      <w:r>
        <w:rPr>
          <w:b/>
        </w:rPr>
        <w:t>E. 16</w:t>
      </w:r>
    </w:p>
    <w:p>
      <w:r>
        <w:t>mars 2015 consid. 1.4). 2.2 2.2.1 Lorsque l’appel est soumis à la maxime inquisitoire illimitée (art. 296 al. 1 CPC), il convient de considérer que l’application stricte de l’art. 317 al. 1 CPC – qui régit les conditions relatives à la recevabilité des faits et moyens de preuve nouveaux en procédure d’appel – n’est pas justifiée</w:t>
      </w:r>
    </w:p>
    <w:p>
      <w:r>
        <w:t>- 9 - (ATF 128 III 411 consid. 3.2.1 ; TF 5A_528/2015 du 21 janvier 2016 consid. 2 ; TF 5A_876/2014 du 3 juin 2015 consid. 4.3.3) 2.2.2 En l’espèce, la cause concerne essentiellement des questions liées aux enfants mineurs des parties – telle que la modification du droit de garde et de la pension due en faveur de ceux-ci –, de sorte que la maxime inquisitoire illimitée est applicable. En conséquence, les pièces nouvelles produites par l’appelant en deuxième instance sont recevables. Il en a été tenu compte dans la mesure de leur pertinence. 3. 3.1 L’appelant fait grief au premier juge d’avoir nié l’existence de faits nouveaux justifiant d’entrer en matière sur la modification de la garde des enfants J.________ et G.________, et, par conséquent des contributions d’entretien. Il soutient en substance que les enfants passent désormais beaucoup plus de temps auprès de lui, de sorte que les droits parentaux qu’il exerce actuellement sont bien plus larges que le régime convenu initialement. Revenant sur les deux épisodes déjà évoqués devant la présidente, il invoque également l’existence de prétendues carences dans la prise en charge des enfants par l’intimée, ainsi qu’une communication parentale qui serait entravée par un discours dénigrant entretenu par l’intimée à son encontre, soutenant que la situation se serait péjorée depuis la dernière décision. Selon l’appelant, il conviendrait dès lors – afin d’assurer le bon développement des enfants – de lui confier la garde de ceux-ci, de fixer un droit de visite usuel en faveur de l’intimée et de revoir le montant des contributions d’entretien. 3.2 3.2.1 Une fois que des mesures protectrices de l’union conjugale ou des mesures provisionnelles dans la procédure de divorce ont été prononcées, elles ne peuvent être modifiées qu’aux conditions de l’art. 179 CC (Code civil suisse du 10 décembre 1907 ; RS 210 ; applicable directement pour les premières, par renvoi de l’art. 276 al.1 CPC pour les</w:t>
      </w:r>
    </w:p>
    <w:p>
      <w:r>
        <w:t>- 10 - secondes ;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 8 mars 2012 consid. 4.1.2 ; TF 5A_811/2012 du 18 février 2013 consid. 3.2 ; TF 5A_842/2015 du 26 mai 2016 consid. 2.4.2, non publié in ATF 142 III 518). La procédure de modification n’a pas pour but de corriger le premier jugement, mais de l’adapter aux circonstances nouvelles (ATF 141 III 376 consid. 3.3.1 ; TF 5A_253/2020 du 25 mars 2021 consid. 3.1.1).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w:t>
      </w:r>
    </w:p>
    <w:p>
      <w:r>
        <w:t>- 11 -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3.2.2 Aux termes de l'art. 176 al. 3 CC, relatif à l'organisation de la vie séparée, lorsque les époux ont des enfants mineurs, le juge ordonne les mesures nécessaires d'après les dispositions sur les effets de la filiation (cf. art. 273 ss CC). A teneur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TF 5a_497/2017 du 7 juin 2018 consid. 4.1). A cet égard, il est unanimement admis que le rapport de l’enfant avec ses deux parents est essentiel et qu’il peut jouer un rôle décisif dans le processus de recherche d’identité de l’enfant (ATF 130 III 585 consid. 2.2.2 ; ATF 127 III 295 consid. 4a ; TF 5A_887/2017 du 16 février 2018 consid. 5.3 et les références citées). Dans chaque cas, la décision doit donc être prise de manière à répondre le mieux possible aux besoins de l’enfant, l’intérêt des parents étant relégué à l’arrière-plan (ATF 130 III 585 consid. 2.2.1 et les références citées ; TF 5A_369/2018 du 14 août 2018 consid. 5.1). L’importance et le mode d’exercice des relations personnelles doivent être appropriés à la situation, autrement dit tenir équitablement compte des</w:t>
      </w:r>
    </w:p>
    <w:p>
      <w:r>
        <w:t>- 12 - circonstances particulières du cas. Le bien de l’enfant variera en fonction de son âge, de sa santé physique et psychique et de la relation qu’il entretien avec l’ayant-droit (Meier/Stettler, Droit de la filiation, 6e éd., 2019, n. 984, pp. 635 s. et les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(Meier/Stettler, op. cit., n. 985, p. 636 et les références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3.3 En l’espèce, l’appelant ne rend aucunement vraisemblable l’existence de prétendues carences de la part de l’intimée dans la prise en charge de J.________ et G.________. En particulier, la situation médicale de J.________ invoquée par l’appelant n’apparaît en rien inquiétante, celui-ci nécessitant un contrôle chez le dentiste en raison d’une incisive qui pousserait derrière ses dents de lait. Quant au fait que l’appelante serait quelque peu dépassée et aurait subi un « grave traumatisme au moment de la séparation », que l’appelant invoque comme motifs d’inquiétude, il reprend certes les déclarations de l’intimée. On ne voit toutefois pas en quoi ces éléments, au demeurant sortis de leur contexte, seraient de nature à compromettre le bon développement des enfants. S’agissant des problèmes de communication parentale et des propos grossiers utilisés par l’intimée, ceux-ci ont certes clairement été établis lors de l’instruction. On observe toutefois que l’appelant a également utilisé un vocabulaire injurieux à l’endroit de l’intimée, de sorte qu’il apparaît quelque peu malvenu d’invoquer cet élément pour requérir un transfert de la garde des enfants. Quoi qu’il en soit, il ne ressort aucunement du dossier que le bien des enfants serait menacé par le comportement de la mère. En outre, comme le relève la présidente, le fait que l’intimée ait forcé le passage pour entrer dans l’appartement de l’appelante est certes repréhensible,</w:t>
      </w:r>
    </w:p>
    <w:p>
      <w:r>
        <w:t>- 13 - mais il semble s’agir d’un épisode tout à fait isolé qui ne saurait suffire à retenir une incapacité de l’intéressée à s’occuper de ses enfants. Le fait que les enfants passeraient beaucoup de temps chez leur père, ce qui n’est pas contesté par l’intimée, ne saurait pas pour autant donner lieu, en l’état, à une modification de la garde de fait des enfants. On rappellera en effet la teneur de la convention signée par les parties le 12 novembre 2019 et ratifiée par le Président du Tribunal civil de l’arrondissement de [...], où les parties ont expressément convenu que le droit de visite de l’appelant s’exercerait d’entente entre les parties. A cet égard, on n’observe aucune démarche initiée par l’intimée qui viserait à compliquer l’exercice du droit de visite de l’appelant sur ces enfants, l’intéressée ayant au contraire proposé, dans le cadre de l’audience d’appel, d’étendre davantage son exercice. En définitive, il n’existe aucun élément nouveau qui justifierait de modifier l’attribution de la garde des enfants, respectivement le droit de visite prévu en faveur du père. Dans la mesure où la demande de modification des pensions dues en faveur des enfants par l’appelant était uniquement fondée sur l’attribution de la garde des enfants en sa faveur – et que cette dernière n’a pas été modifiée –, il n’y a pas lieu d’entrer en matière sur cette question. En outre, il ne ressort pas du dossier de la cause que la situation financière des parties aurait été modifiée depuis l’ordonnance de mesures protectrices de l’union conjugale, de sorte qu’il se justifierait de recalculer les pensions dues aux enfants. 4. 4.1 En définitive, l’appel doit être rejeté et l’ordonnance attaquée confirmée. 4.2 Les frais judiciaires de deuxième instance, arrêtés à 600 fr. (art. 65 al. 2 TFJC [Tarif des frais judiciaires civils du 28 septembre 2010 ; BLV 270.11.5]), seront mis à la charge de l’appelant qui succombe (art. 106 al. 1 et 2 CPC). Toutefois, dès lors que l’appelant bénéficie de l’assistance</w:t>
      </w:r>
    </w:p>
    <w:p>
      <w:r>
        <w:t>- 14 - judiciaire pour la procédure d’appel, les frais judiciaires mis à sa charge seront provisoirement laissés à la charge de l’Etat (art. 122 al. 1 let. b CPC). Il n’y a pas lieu à l’allocation de dépens de deuxième instance dès lors que l’intimée n’a pas procédé. 4.3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de l’appelant a indiqué dans sa liste des opérations du 17 décembre 2021 avoir consacré 16 heures et 15 minutes au dossier et a revendiqué des débours à hauteur de 11 fr. 33, ainsi que des frais de vacation. On constate toutefois que le conseil d’office a comptabilisé des opérations en lien avec la procédure de mesures provisionnelles de première instance. Il n’y a donc pas lieu de tenir compte, dans la présente procédure d’appel, de ces opérations qui seront indemnisées dans le cadre de la procédure de première instance pour laquelle l’appelant a également obtenu l’assistance judiciaire. Dans ces conditions, les opérations comprises entre le 15 avril et le 21 octobre 2021 compris, comptabilisées par le conseil d’office à hauteur de 7 heures et 10 minutes, seront retranchées. On retiendra ainsi un temps admissible consacré au dossier de 9 heures et 5 minutes (16h15 – 7h10), cette durée apparaissant adéquate compte tenu de la nature du litige et des difficultés de la cause, ainsi que l’intervention concrète du conseil d’office en deuxième instance.</w:t>
      </w:r>
    </w:p>
    <w:p>
      <w:r>
        <w:t>- 15 - Quant aux débours, il s’agit de frais d’affranchissement et de photocopies qui doivent être rétribués de manière forfaitaire en deuxième instance à raison de 2% de la rémunération hors taxe (art. 3bis al. 1 et 2 RAJ). Il s’ensuit qu’au tarif horaire de 180 fr., l’indemnité d’office de Me Schwab sera arrêtée à 1'635 fr. ([9h05 x 180 fr.]), montant auquel s’ajoutent les débours par 32 fr. 70 (2% de 1'635 fr. ; art. 3bis al. 1 RAJ), les frais de vacation par 120 fr. (art. 3bis al. 3 RAJ) et la TVA sur le tout par 137 fr. 65, soit à 1'925 fr. 35 au total, arrondis à 1'925 francs. 4.4 L’appelant, bénéficiaire de l’assistance judiciaire, est tenu au remboursement des frais judiciaires et de l’indemnité de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rejeté. II. L’ordonnance est confirmée. III. Les frais judiciaires de deuxième instance, arrêtés à 600 fr., sont mis à la charge de l’appelant V.________ et provisoirement laissés à la charge de l’Etat. IV. L’indemnité d’office de Me Benjamin Schwab, conseil d’office de l’appelant V.________, est arrêtée à 1'925 fr. (mille neuf cent vingt-cinq francs), débours et TVA compris.</w:t>
      </w:r>
    </w:p>
    <w:p>
      <w:r>
        <w:t>- 16 - V. L’appelant V.________ est tenu au remboursement des frais judiciaires et de l’indemnité de son conseil d’office laissés à la charge de l’Etat, dès qu’il sera en mesure de le faire. VI. L’arrêt est exécutoire. Le juge délégué : La greffière : Du Le présent arrêt, dont la rédaction a été approuvée à huis clos, est notifié en expédition complète à : - Me Benjamin Schwab (pour V.________), - S.________,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