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TD21.015487 vom 29. Juni 2022</w:t>
      </w:r>
    </w:p>
    <w:p>
      <w:r>
        <w:t>VD Tribunal cantonal, 2022-06-29, FR</w:t>
      </w:r>
    </w:p>
    <w:p>
      <w:r>
        <w:rPr>
          <w:b/>
        </w:rPr>
        <w:t xml:space="preserve">Quelle: </w:t>
      </w:r>
      <w:r>
        <w:t>https://mcp.opencaselaw.ch/entscheid/vd_gerichte_TD21.015487</w:t>
      </w:r>
    </w:p>
    <w:p>
      <w:r>
        <w:t>FR: VD_GERICHTE TD21.015487 du 29 juin 2022</w:t>
      </w:r>
    </w:p>
    <w:p>
      <w:r>
        <w:t>IT: VD_GERICHTE TD21.015487 del 29 giugno 2022</w:t>
      </w:r>
    </w:p>
    <w:p>
      <w:pPr>
        <w:pStyle w:val="Heading2"/>
      </w:pPr>
      <w:r>
        <w:t>Erwägungen</w:t>
      </w:r>
    </w:p>
    <w:p>
      <w:r>
        <w:rPr>
          <w:b/>
        </w:rPr>
        <w:t>E. 1</w:t>
      </w:r>
    </w:p>
    <w:p>
      <w:r>
        <w:t>Le 13 juillet 2021, dans le cadre de la cause en divorce sur demande unilatérale l’opposant à [...], G.________ a requis d’être mis au bénéfice de l’assistance judiciaire.</w:t>
      </w:r>
    </w:p>
    <w:p>
      <w:r>
        <w:t>- 3 -</w:t>
      </w:r>
    </w:p>
    <w:p>
      <w:r>
        <w:rPr>
          <w:b/>
        </w:rPr>
        <w:t>E. 1.1</w:t>
      </w:r>
    </w:p>
    <w:p>
      <w:r>
        <w:t>La décision arrêtant la rémunération du conseil d'office au sens de l'art. 122 al. 1 let. a CPC est une décision sur frais qui ne peut être attaquée séparément que par un recours selon l'art. 110 CPC (Tappy, Commentaire romand, CPC, 2e éd., Bâle 2019 [ci-après : CR CPC], n. 21 ad art. 122 CPC).</w:t>
      </w:r>
    </w:p>
    <w:p>
      <w:r>
        <w:t>- 4 -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cette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5D_7/2019 du 5 août 2019 consid. 1.3 non publié aux ATF 145 III 433 ; TF 5A_301/2018 du 7 juin 2018 consid. 1.3 ; Tappy, op. cit., n. 22 ad art. 122 CPC).</w:t>
      </w:r>
    </w:p>
    <w:p>
      <w:r>
        <w:rPr>
          <w:b/>
        </w:rPr>
        <w:t>E. 1.2</w:t>
      </w:r>
    </w:p>
    <w:p>
      <w:r>
        <w:t>En l'espèce, le recours, écrit et motivé (art. 321 al. 1 CPC), a été formé en temps utile par une personne qui a un intérêt digne de protection (art. 59 al. 2 let. a CPC) ; il est recevable. 2. Le recours est recevable pour violation du droit (art. 320 let. a CPC) et constatation manifestement inexacte des faits (art. 320 let. b CPC). L’autorité de recours dispose d’un plein pouvoir d’examen s’agissant de la violation du droit (Jeandin, CR CPC, op. cit.,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w:t>
      </w:r>
    </w:p>
    <w:p>
      <w:r>
        <w:t>- 5 - d’examen de la Chambre des recours est donc limité à l’arbitraire s’agissant des faits retenus par l’autorité précédente (TF 4D_30/2017 du</w:t>
      </w:r>
    </w:p>
    <w:p>
      <w:r>
        <w:rPr>
          <w:b/>
        </w:rPr>
        <w:t>E. 2</w:t>
      </w:r>
    </w:p>
    <w:p>
      <w:r>
        <w:t>Par prononcé du 19 juillet 2021, le président a accordé à G.________ le bénéfice de l’assistance judiciaire avec effet au 9 juillet 2021, Me Z.________ lui étant désigné comme conseil d’office.</w:t>
      </w:r>
    </w:p>
    <w:p>
      <w:r>
        <w:rPr>
          <w:b/>
        </w:rPr>
        <w:t>E. 3</w:t>
      </w:r>
    </w:p>
    <w:p>
      <w:r>
        <w:t>Par courrier du 26 avril 2022, Me Z.________ a expliqué que son client avait décidé, pour des motifs financiers, de renoncer à ses services, ce sans délai. A l’appui de son courrier, le conseil a produit une liste détaillée de ses opérations pour la période du 9 juillet 2021 au 26 avril 2022. Dans son relevé détaillé, Me Z.________ a fait état d’un total de 39h20 consacrées au dossier, comprenant notamment de nombreux courriels au client, soit onze courriels de 5 minutes, vingt courriels de 10 minutes, treize courriels de 15 minutes, quatre courriels de 20 minutes et un courriel de 30 minutes, soit un total de 9h20 pour les seuls courriels au client, ceux-ci étant parfois comptabilisés sur plusieurs jours de suite. En sus des courriels au client, l’avocat a indiqué un total 6h10 pour des conférences avec le client (2h de conférences, trois conférences téléphoniques de 2h25 en tout, une conférence avant audience d’une demi-heure et une conférence après audience de 1h15). Me Z.________ a également revendiqué des débours, correspondant à un forfait de 5 % de sa rémunération hors taxe, ainsi que des frais de vacation par deux fois 120 fr. et la TVA sur le tout. En d roit : 1.</w:t>
      </w:r>
    </w:p>
    <w:p>
      <w:r>
        <w:rPr>
          <w:b/>
        </w:rPr>
        <w:t>E. 3.1</w:t>
      </w:r>
    </w:p>
    <w:p>
      <w:r>
        <w:t>Le recourant fait valoir que la correspondance avec le client correspondrait à moins de cinquante échanges d’une durée de 9h15 sur une période de presque dix mois, soit une moyenne de 56 minutes par mois à raison de cinq courriels par mois. En réduisant la note de 10h – soit d’avantage que la durée totale des courriels – le premier juge aurait procédé à une réduction forfaitaire non-admissible des opérations. Le recourant relève que la cause ne serait pas uniquement une cause de mesures provisionnelles, mais concernerait également le fond, une audience de conciliation ayant eu lieu le 30 août 2021, et que la mesure provisionnelle aurait fait l’objet d’un double échange d’écritures. Il fait valoir qu’il faudrait également prendre en compte le domicile étranger de son mandant, le fait qu’il ne parlait pas le français et l’importance du conflit entre les parties. Il avait en particulier fallu réunir des informations sur l’absence d’activité lucrative du mandant en Grèce. Les démarches pour faire venir l’intéressé en Suisse auraient également pris du temps. Enfin, le recourant relève qu’il n’aurait pas facturé les opérations effectuées après avoir sollicité d’être relevé de son mandat et qu’il n’aurait à aucun moment effectué d’opération qui puisse s’apparenter à du soutien moral de son mandant.</w:t>
      </w:r>
    </w:p>
    <w:p>
      <w:r>
        <w:rPr>
          <w:b/>
        </w:rPr>
        <w:t>E. 3.2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w:t>
      </w:r>
    </w:p>
    <w:p>
      <w:r>
        <w:t>- 6 -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précité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précité consid. 6.2.2). L'avocat doit toutefois bénéficier d'une marge d'appréciation suffisante pour déterminer l'importance du travail qu'exige l'affaire (TF 5A_10/2018 du 17 avril 2018 consid. 3.2.2.3, RSPC 2018 p. 370 ; TF 5D_149/2016 précité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w:t>
      </w:r>
    </w:p>
    <w:p>
      <w:r>
        <w:t>- 7 -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w:t>
      </w:r>
    </w:p>
    <w:p>
      <w:r>
        <w:rPr>
          <w:b/>
        </w:rPr>
        <w:t>E. 3.3</w:t>
      </w:r>
    </w:p>
    <w:p>
      <w:r>
        <w:t>En l’espèce, à l’examen de la liste des opérations établie par le recourant, on constate que pas moins de quarante-neuf courriels ont été adressés au mandant, pour la plupart facturés entre 10 et 15 minutes, et le plus souvent plusieurs jours à la suite. La durée totale facturée pour ces échanges est de 9h20. A cela s’ajoute que le conseil a indiqué un total de 6h10 pour des conférences avec le client. En définitive, la durée totale des échanges avec le client – qu’ils soient écrits ou oraux – s’est élevée à 15h30. Le temps consacré à ces opérations est trop élevé, notamment au vu de l’absence de complexité du litige quoi que soutienne le recourant. En outre, l’éloignement géographique du mandant et son absence de maîtrise de la langue française ne permettent pas de justifier l’ampleur de ces opérations. Pour ces motifs, c’est à juste titre que la liste des opérations a été réduite de 10h, cette réduction devant cependant s’appliquer aux échanges tant oraux qu’écrits avec le client. La durée consacrée aux conférences avec le client et aux échanges de courriel doit ainsi être ramenée à 5h30 au total. Par substitution de motifs, on parvient au même résultat que le premier juge. 4. Au vu de ce qui précède, le recours, manifestement mal fondé (art. 322 al. 1 in fine CPC), doit être rejeté et le prononcé entrepris confirmé. Les frais judiciaires de deuxième instance, arrêtés à 200 fr. (art. 69 al. 1 TFJC [tarif des frais judiciaires civils du 28 septembre 2010 ; BLV 270.11.5]), seront mis à la charge du recourant, qui succombe (art. 106 al. 1 CPC).</w:t>
      </w:r>
    </w:p>
    <w:p>
      <w:r>
        <w:t>- 8 - Par ces motifs, la Chambre des recours civile du Tribunal cantonal, en application de l'art. 322 al. 1 CPC, prononce : I. Le recours est rejeté. II. Le prononcé est confirmé. III. Les frais judiciaires de deuxième instance, arrêtés à 200 fr. (deux cents francs), sont mis à la charge du recourant Z.________. IV. L’arrêt est exécutoire. Le président : La greffière : Du L'arrêt qui précède, dont la rédaction a été approuvée à huis clos, est notifié à : - Me Z.________, - M. G.________, personnellement.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5</w:t>
      </w:r>
    </w:p>
    <w:p>
      <w:r>
        <w:t>décembre 2017 consid. 2.2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