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TD21.011982 vom 16. August 2022</w:t>
      </w:r>
    </w:p>
    <w:p>
      <w:r>
        <w:t>VD Tribunal cantonal, 2022-08-16, FR</w:t>
      </w:r>
    </w:p>
    <w:p>
      <w:r>
        <w:rPr>
          <w:b/>
        </w:rPr>
        <w:t xml:space="preserve">Quelle: </w:t>
      </w:r>
      <w:r>
        <w:t>https://mcp.opencaselaw.ch/entscheid/vd_gerichte_TD21.011982</w:t>
      </w:r>
    </w:p>
    <w:p>
      <w:r>
        <w:t>FR: VD_GERICHTE TD21.011982 du 16 août 2022</w:t>
      </w:r>
    </w:p>
    <w:p>
      <w:r>
        <w:t>IT: VD_GERICHTE TD21.011982 del 16 agosto 2022</w:t>
      </w:r>
    </w:p>
    <w:p>
      <w:pPr>
        <w:pStyle w:val="Heading2"/>
      </w:pPr>
      <w:r>
        <w:t>Erwägungen</w:t>
      </w:r>
    </w:p>
    <w:p>
      <w:r>
        <w:rPr>
          <w:b/>
        </w:rPr>
        <w:t>E. 2</w:t>
      </w:r>
    </w:p>
    <w:p>
      <w:r>
        <w:t>; CACI 1er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1er juillet 2019 consid. 3.2.1 et les références citées). Cependant, l’application de la maxime inquisitoire illimitée ne dispense</w:t>
      </w:r>
    </w:p>
    <w:p>
      <w:r>
        <w:t>- 12 - pas les parties d’une collaboration active à la procédure et d’étayer leurs propres thèses ; il leur incombe ainsi de renseigner le juge sur les faits de la cause et de lui indiquer les moyens de preuves disponibles (ATF 128 III 411 consid. 3.2.1).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w:t>
      </w:r>
    </w:p>
    <w:p>
      <w:r>
        <w:rPr>
          <w:b/>
        </w:rPr>
        <w:t>E. 2.3</w:t>
      </w:r>
    </w:p>
    <w:p>
      <w:r>
        <w:t>; TF 5A_890/2020 du 2 décembre 2020 consid. 6.2 ; TF 5A_254/2019 du 18 juillet 2019 consid. 3.1).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5A_112/2013 du 25 mars 2013 consid. 4.1.3). L’utilisation de statistiques pour arrêter le salaire hypothétique n’est nullement impérative, en particulier lorsqu’un revenu concrètement existant peut fournir un point de départ (ATF 147 III 265 consid. 3.2 et les références citées). Sur ce point, le Tribunal fédéral estime désormais qu’on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w:t>
      </w:r>
    </w:p>
    <w:p>
      <w:r>
        <w:t>- 19 - pouvoir d’appréciation (ATF 144 III 481 consid. 4.7.9, JdT 2019 II 179 ; TF 5A_600/2019 du 9 décembre 2020 consid. 5.1.2 ; TF 5A_801/2019 du 26 mai 2020 consid. 3.3.2).</w:t>
      </w:r>
    </w:p>
    <w:p>
      <w:r>
        <w:rPr>
          <w:b/>
        </w:rPr>
        <w:t>E. 3</w:t>
      </w:r>
    </w:p>
    <w:p>
      <w:r>
        <w:t>En l’espèce, dès lors que la présente procédure concerne notamment les contributions d’entretien d’enfants mineurs et qu’elle est par conséquent soumise à la maxime inquisitoire illimitée, les pièces nouvelles produites par les parties sont recevables, sans qu’il y ait lieu d’examiner si les conditions prévues par l’art. 317 al. 1 CPC sont réalisées (cf. consid. 2.2 supra). Il n’en sera toutefois tenu compte que dans une mesure utile à la résolution du présent litige. Il n’y a en outre pas lieu d’examiner la question de savoir si ces pièces, et les faits allégués qui en découlent, seraient irrecevables sous l’angle des art. 52 CPC et 2 al. 2 CC (Code civil suisse du 10 décembre 1907 ; RS 210), comme le fait valoir l’intimée, les pièces et les faits allégués concernés n’étant en l’occurrence pas nécessaires pour statuer.</w:t>
      </w:r>
    </w:p>
    <w:p>
      <w:r>
        <w:rPr>
          <w:b/>
        </w:rPr>
        <w:t>E. 3.2</w:t>
      </w:r>
    </w:p>
    <w:p>
      <w:r>
        <w:t>; TF 5A_254/2019 du 18 juillet 2019 consid. 3.1 ; TF 5A_571/2018 du 14 septembre 2018 consid. 5.1.2 et les références citées). Les principes relatifs au revenu hypothétique valent tant pour le débiteur que pour le créancier d’entretien (TF 5A_838/2009 du 6 mai 2010, FamPra.ch 2010 p. 669). Lorsque le débirentier diminue son revenu dans l’intention de nuire, une modification de la contribution d’entretien est exclue même si la réduction de revenu est irrémédiable (ATF 143 III 233 consid. 3.4). En outre,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références citées). Lorsque le juge entend tenir compte d’un revenu hypothétique, il doit examiner successivement deux conditions. Tout</w:t>
      </w:r>
    </w:p>
    <w:p>
      <w:r>
        <w:t>- 18 -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w:t>
      </w:r>
    </w:p>
    <w:p>
      <w:r>
        <w:rPr>
          <w:b/>
        </w:rPr>
        <w:t>E. 4</w:t>
      </w:r>
    </w:p>
    <w:p>
      <w:r>
        <w:t>L’appelant sollicite le réexamen des contribution d’entretien. Il requiert une diminution des pensions mensuelles dues à ses enfants et la suppression de celle due à l’intimée.</w:t>
      </w:r>
    </w:p>
    <w:p>
      <w:r>
        <w:rPr>
          <w:b/>
        </w:rPr>
        <w:t>E. 4.1.1</w:t>
      </w:r>
    </w:p>
    <w:p>
      <w:r>
        <w:t>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w:t>
      </w:r>
    </w:p>
    <w:p>
      <w:r>
        <w:t>- 13 -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 Composent l’entretien convenable de l’enfant les coûts directs générés par celui-ci et les coûts, indirects, liés à sa prise en charge (ATF 144 III 377 consid. 7).</w:t>
      </w:r>
    </w:p>
    <w:p>
      <w:r>
        <w:rPr>
          <w:b/>
        </w:rPr>
        <w:t>E. 4.1.3</w:t>
      </w:r>
    </w:p>
    <w:p>
      <w:r>
        <w:t>Le Tribunal fédéral a considéré que, pour arrêter les coûts directs de l’enfant (Barunterhalt), il y avait lieu de se fonder sur la méthode en deux étapes avec répartition de l’excédent (zweistufige Methode mit Überschussverteilung), qui se base sur les frais de subsistance (Lebenshaltungskosten) (ATF 147 III 265 consid. 6.1). Cette méthode a vocation à s’appliquer dans toute la Suisse en ce qui concerne</w:t>
      </w:r>
    </w:p>
    <w:p>
      <w:r>
        <w:t>- 14 -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w:t>
      </w:r>
    </w:p>
    <w:p>
      <w:r>
        <w:rPr>
          <w:b/>
        </w:rPr>
        <w:t>E. 4.1.4</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(ATF 147 III 265 consid. 7.2 et 7.3 et les références citées).</w:t>
      </w:r>
    </w:p>
    <w:p>
      <w:r>
        <w:t>- 15 -</w:t>
      </w:r>
    </w:p>
    <w:p>
      <w:r>
        <w:rPr>
          <w:b/>
        </w:rPr>
        <w:t>E. 4.1.5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57 consid. 2.3.2.3 et 4.2.3.5 et les références citées), même si cela suppose d’évaluer par avance la contribution d’entretien.</w:t>
      </w:r>
    </w:p>
    <w:p>
      <w:r>
        <w:t>- 16 - 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(Juge unique CACI 22 février 2022/103 consid. 6.1.5).</w:t>
      </w:r>
    </w:p>
    <w:p>
      <w:r>
        <w:rPr>
          <w:b/>
        </w:rPr>
        <w:t>E. 4.1.6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w:t>
      </w:r>
    </w:p>
    <w:p>
      <w:r>
        <w:t>- 17 - l’entretien doit exposer pour quels motifs la règle de la répartition par grandes et petites têtes a été appliquée ou non (sur le tout, ATF 147 III 265 consid. 7.2 à 7.4 et les références citées).</w:t>
      </w:r>
    </w:p>
    <w:p>
      <w:r>
        <w:rPr>
          <w:b/>
        </w:rPr>
        <w:t>E. 4.2</w:t>
      </w:r>
    </w:p>
    <w:p>
      <w:r>
        <w:t>L’appelant conteste en particulier le revenu hypothétique qui lui a été imputé par le premier juge et reproche à celui-ci d’avoir renoncé à en imputer un à l’intimée.</w:t>
      </w:r>
    </w:p>
    <w:p>
      <w:r>
        <w:rPr>
          <w:b/>
        </w:rPr>
        <w:t>E. 4.2.1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w:t>
      </w:r>
    </w:p>
    <w:p>
      <w:r>
        <w:rPr>
          <w:b/>
        </w:rPr>
        <w:t>E. 4.2.2.1</w:t>
      </w:r>
    </w:p>
    <w:p>
      <w:r>
        <w:t>L’appelant reproche au premier juge d’avoir retenu que la résiliation des rapports de travail avec son précédent employeur ait été décidée d’un commun accord. Il fait valoir qu’il était en désaccord avec sa hiérarchie, qu’il ne correspondait plus au profil recherché pour son poste et qu’il rencontrait des difficultés dans son emploi depuis plus d’une année avant son licenciement. Il reproche également à l’autorité de première instance d’avoir considéré qu’il n’avait pas tout mis en œuvre pour percevoir, grâce à son nouveau travail, une rémunération équivalente à celle de son précédent emploi. A cet égard, il expose qu’il était âgé de 56 ans lors de son licenciement, de sorte qu’il serait difficile de retrouver un travail avec un salaire similaire, qu’il aurait effectué un grand nombre de recherches d’emploi, dont aucune n’aurait débouché sur un travail avec un salaire équivalent, et qu’il n’aurait pas eu d’autres choix que d’accepter le poste de travail qui lui a été proposé par la société [...] Sàrl. Il relève ainsi qu’il n’a pas diminué ses revenus dans le but de réduire les contributions d’entretien. Il ajoute encore que son nouvel emploi lui offrirait de meilleures perspectives à moyen terme que des indemnités journalières provenant de l’assurance-chômage. L’appelant a requis l’audition de plusieurs témoins, dont le directeur de son ancien employeur. L’intimée estime que le premier juge aurait retenu à juste titre que l’appelant et son précédent employeur avaient mis un terme à leurs rapports de travail d’un commun accord, dès lors que ce serait l’appelant lui-même qui aurait allégué ce fait devant l’autorité de première instance. Elle fait valoir que, de toute manière, l’appelant n’aurait pas fait tous les efforts possibles pour conserver son emploi, dès lors que son comportement avant son licenciement n’aurait pas changé malgré un avertissement. L’intimée estime en outre que l’intéressé n’aurait pas rendu vraisemblable qu’il aurait effectué ses recherches d’emploi avec sérieux et que son travail actuel lui procurerait un revenu de moitié</w:t>
      </w:r>
    </w:p>
    <w:p>
      <w:r>
        <w:t>- 20 - inférieur à celui qu’il percevait avant et serait également plus faible que les indemnités journalières provenant de l’as-surance-chômage. Elle considère enfin que dans la mesure où l’appelant se serait satisfait en connaissance de cause d’une activité lucrative lui rapportant des revenus moindres, il devrait se laisser imputer le revenu qu’il réalisait précédemment, sans qu’il y ait lieu d’examiner s’il serait raisonnablement exigible de lui qu’il exerce une activité lucrative pouvant lui rapporter un tel salaire.</w:t>
      </w:r>
    </w:p>
    <w:p>
      <w:r>
        <w:rPr>
          <w:b/>
        </w:rPr>
        <w:t>E. 4.2.2.2</w:t>
      </w:r>
    </w:p>
    <w:p>
      <w:r>
        <w:t>En l’espèce, au vu de la convention de sortie du 26 janvier 2021, il n’est pas vraisemblable que l’appelant ait de son plein gré, et d’un commun accord avec son précédent employeur, mis un terme à ses rapports de travail avec celui-ci. Selon les termes de cette convention, il apparaît en effet que la résiliation du contrat de travail de l’appelant résulte d’une divergence de vue et de valeurs par rapport à la nouvelle stratégie de l’entreprise. Dans ces circonstances, on ne peut exclure que, même si aucune convention de sortie n’avait été établie, l’intéressé aurait tout de même été licencié de son précédent emploi. Il apparaît en outre que la convention, qui fait état d’une volonté réciproque des parties de négociation afin de trouver une solution amiable, a en réalité été établie, comme l’expose l’appelant, afin régler les modalités de la résiliation, et non la résiliation elle-même, ce qui leur a notamment permis d’éviter un litige devant les autorités et, pour l’intéressé, d’obtenir une impor-tante indemnité de départ. Vu ce qui précède, il n’y a pas lieu de donner suite à la requête de l’appelant tendant à entendre plusieurs témoins, leur audition n’étant pas nécessaire. Il n’est pas non plus vraisemblable qu’en prenant son nouvel emploi au 1er octobre 2021 auprès de la société [...] SA, lui procurant un salaire mensuel net de l’ordre de 8’000 fr., l’appelant ait volontairement diminué ses revenus afin de se soustraire à ses obligations d’entretien. On relève tout d’abord qu’on ne saurait aujourd’hui exiger de l’intéressé qu’il retrouve un emploi avec un salaire similaire à celui qu’il percevait précédemment, dès lors qu’il est peu probable que l’appelant puisse trouver un employeur qui veuille lui payer, dès la prise d’emploi, un</w:t>
      </w:r>
    </w:p>
    <w:p>
      <w:r>
        <w:t>- 21 - revenu de plus de 17’000 fr. par mois, sans avoir à tout le moins examiné ses qualifications au préalable. Il ne faut pas non plus perdre de vue que l’intéressé a travaillé durant plus de vingt auprès de son précédent employeur, de sorte qu’il a vraisemblablement pu bénéficier de ses années d’expérience au sein de l’entreprise pour atteindre le salaire concerné. Ensuite, l’appelant a fait l’objet d’une période de chômage pendant cinq mois, dans le cadre de laquelle il a eu l’obligation de faire de nombreuses postulations correspondant à son profil. Or, force est de constater que ses recherches d’emploi ont été sérieuses, puisqu’il a pu rapidement retrouver un travail pour un poste de responsable administratif et financier, similaire à celui qu’il exerçait précédemment. Le salaire est certes modeste comparativement à celui qu’il percevait de la part de son ancien employeur. Cela étant, l’appelant a pu trouver un lieu de travail proche de son domicile, lui permettant, comme il l’a indiqué lors de l’audience du 10 août 2022, de pouvoir notamment continuer à voir ses enfants de manière régulière et d’avoir des frais de transport raisonnables. Enfin, l’appelant a été licencié à l’âge de 56 ans. A cet âge, on peut comprendre qu’il ait souhaité reprendre une activité professionnelle rapidement, même en acceptant un salaire moins élevé, afin d’éviter de passer de nombreux mois à l’assurance-chômage, sans la certitude de trouver un emploi avant d’être en fin de droit. A cela s’ajoute que si les revenus de l’appelant sont moindres que les précédents, ceux-ci restent élevés, de sorte qu’ils permettent, comme on le verra ci-dessous (cf. consid. 4.5 infra), de couvrir pratiquement l’entier de ses charges et celles des enfants des parties. Au regard des éléments qui précèdent, on ne saurait reprocher à l’appelant de n’avoir pas déployé tous les efforts possibles pour retrouver une activité professionnelle équivalente à la précédente. L’intéressé sera toutefois invité à poursuivre ses recherches d’emploi dans le but d’améliorer sa capacité de gain. Dans ces conditions, il n’y a pas lieu d’imputer un revenu hypothétique à l’appelant. Afin de fixer les contributions d’entretien, il conviendra donc de se baser sur son revenu mensuel net effectif, à savoir 8’159 fr. 60.</w:t>
      </w:r>
    </w:p>
    <w:p>
      <w:r>
        <w:t>- 22 -</w:t>
      </w:r>
    </w:p>
    <w:p>
      <w:r>
        <w:rPr>
          <w:b/>
        </w:rPr>
        <w:t>E. 4.2.3.1</w:t>
      </w:r>
    </w:p>
    <w:p>
      <w:r>
        <w:t>L’appelant considère qu’il faudrait imputer un revenu hypothétique à l’intimée pour une activité à un taux de 80%, soit un salaire de l’ordre de 6’400 fr. par mois. Il fait valoir que celle-ci serait insérée dans le milieu professionnel depuis plusieurs années et qu’elle serait au bénéfice d’une solide formation. Il relève que les enfants des parties sont des adolescents scolarisés, dont la prise en charge serait moindre. Enfin, selon l’appelant, ce n’est pas parce que l’intéressée aurait un salaire élevé pour un travail à un taux d’activité à 60% qu’elle ne devrait pas augmenter celui-ci. L’intimée relève que, selon les données statistiques, le salaire mensuel médiant d’une personne ayant les mêmes qualifications qu’elle travaillant à un taux d’activité de 80% serait inférieur à son revenu actuel pour une activité à un taux de 60%. Elle estime qu’elle n’aurait ainsi aucun intérêt à procéder à des recherches d’emploi, ce d’autant que celui qu’elle exerce actuellement lui offrirait des conditions de travail particulièrement favorables, notamment en termes de flexibilité et de vacances, puisqu’elle dispose de dix semaines de vacances par année.</w:t>
      </w:r>
    </w:p>
    <w:p>
      <w:r>
        <w:rPr>
          <w:b/>
        </w:rPr>
        <w:t>E. 4.2.3.2</w:t>
      </w:r>
    </w:p>
    <w:p>
      <w:r>
        <w:t>En l’espèce, il est vrai que, selon la jurisprudence, il pourrait être exigé de l’intimée qu’elle travaille à un taux d’activité à 80%, dans la mesure où les enfants des parties sont à l’école secondaire. Cependant, l’intimée travaille déjà à un taux d’activité de 60% et réalise un salaire net de 4’800 fr. par mois. Comme l’a relevé le premier juge, selon le calculateur statistique de l’Office fédéral de la statistiques, le salaire médian pour une personne de l’âge de l’intimée, avec des qualifications identiques à celle-ci, s’élève à environ 4’630 fr. ([6’811 fr. x 0,8] - 15% de charges sociales) par mois. Ainsi, l’intimée, grâce à son activité à un taux de 60%, gagne plus que le salaire qui pourrait éventuellement être exigé d’elle. De plus, il y a également lieu de tenir compte du fait que, dans son emploi actuel, l’intimée bénéficie d’une grande flexibilité et a droit à dix semaines de vacances par année. Or, de telles conditions de travail, particulièrement favorables, apparaissent difficilement trouva-bles sur le marché. Par conséquent, force est de constater qu’astreindre l’intéressée</w:t>
      </w:r>
    </w:p>
    <w:p>
      <w:r>
        <w:t>- 23 - à augmenter son taux d’activité auprès d’un autre employeur peut s’avérer contre-productif. Il convient donc de renoncer à imputer un revenu hypothétique à l’intimée. De plus, la situation financière des parties est suffisamment favorable pour couvrir pratiquement l’ensemble des charges de la famille, de sorte qu’il n’est à ce stade pas nécessaire d’exiger de l’intéressée qu’elle augmente sa capacité de gain. Enfin, dans la mesure où l’appelant requiert pour lui-même qu’il soit renoncé à lui demander d’augmenter sa capacité contributive, il ne saurait solliciter le contraire pour l’intimée, qui n’a au surplus connu aucune une baisse importante de ses revenus. Ainsi, c’est à juste titre que le premier juge a retenu le salaire effectif de l’intimée, soit 4’800 fr. net par mois, pour fixer les contributions d’entretien.</w:t>
      </w:r>
    </w:p>
    <w:p>
      <w:r>
        <w:rPr>
          <w:b/>
        </w:rPr>
        <w:t>E. 4.2.4</w:t>
      </w:r>
    </w:p>
    <w:p>
      <w:r>
        <w:t>On relève encore qu’il n’y a pas lieu de prendre en considération le solde du montant de l’indemnité de départ reçue par l’appelant dans le cadre des contributions d’entretien. Selon les déclarations des parties, l’indemnité en question avait été versée sur leur compte commun et chacune d’elles a déjà pu bénéficier d’une partie de celle-ci. En outre, ces dernières paraissent avoir décidé de laisser le solde de l’indemnité sur un compte, de sorte que le sort réservé au montant restant sera examiné dans le cadre de la liquidation du régime matrimonial. Enfin, l’intimée invoque l’irrecevabilité de l’appel parce que l’appelant n’aurait pas rempli ses exigences de motivation au sens de l’art. 311 al. 1 CPC. Cela étant, si on peut éventuellement admettre que certains passages de l’appel peuvent prêter à discussion à cet égard (cf. not. appel, pp. 9 à 18 [exposé des faits] et 24 [renvoi aux déterminations du 10 novembre 2021]), les points examinés ci-dessus sont suffisamment motivés au regard de l’art. 311 al. 1 CPC. Par ailleurs, l’intimée ne saurait valablement contester la motivation du mémoire d’appel de manière générale, en sous-entendant que l’appel ne serait pas suffisamment compréhensible pour être examiné, puis reprendre ensuite de manière</w:t>
      </w:r>
    </w:p>
    <w:p>
      <w:r>
        <w:t>- 24 - précise les griefs de l’appelant dans ses moyens suivants, révélant ainsi qu’elle a parfaitement compris les points remis en cause dans l’appel.</w:t>
      </w:r>
    </w:p>
    <w:p>
      <w:r>
        <w:rPr>
          <w:b/>
        </w:rPr>
        <w:t>E. 4.3</w:t>
      </w:r>
    </w:p>
    <w:p>
      <w:r>
        <w:t>La prise en compte du revenu effectif de l’appelant, en lieu et place d’un revenu hypothétique, implique de revoir les postes des impôts des parties. Les impôts seront estimés sur la base des revenus effectifs des parties et des contributions d’entretien prévisibles. En l’état, il y a lieu d’évaluer, à première vue et sous l’angle de la vraisemblance, les contributions d’entretien dues en faveur des enfants à hauteur de 1’350 fr. pour T.________ et de 1’150 fr. pour V.________, étant précisé que, dans le cadre de l’estimation, il ne reste aucun disponible à allouer à l’intimée. Les montants qui seront évalués à titre d’impôts ne tiendront pas compte d’autres éventuelles sources génératrices d’impôts. Il est en outre précisé qu’aucune déduction fiscale, impossible à établir, ne sera prise en considération. Ainsi, il y a lieu de tenir compte, pour l’appelant, d’un revenu annuel net, déduction faite des contributions d’entretien prévisible à sa charge, de l’ordre de 67’915 fr. ([8’159 fr. 60 - 2’500 fr.] x 12). En utilisant le calculateur de l’administration cantonale du Valais, la charge mensuelle prévisible de l’intéressé s’élève à 915 fr. (10’982 fr. 40 : 12). Pour l’intimée, il convient de prendre en considération un revenu annuel net d’environ 96’000 fr. ([4’800 fr. + 2’500 fr. + 700 fr. [allocations familiales]] x 12). En utilisant le calculateur de l’administration cantonale vaudoise, la charge prévisible de l’intéressée s’élève à 1’192 fr. (14’308 fr. 80 : 12) par mois. Selon la jurisprudence, il convient encore de répartir proportionnelle-ment la part des impôts de l’intimée entre celle-ci et les enfants. Les revenus de l’intimée qui sont attribués à l’enfant T.________ sont de 1’750 fr. (1’350 fr. + 400 fr.) et ceux attribués à l’enfant V.________ de 1’450 fr. (1’150 fr. + 300 fr.), ce qui représente 22% du revenu total</w:t>
      </w:r>
    </w:p>
    <w:p>
      <w:r>
        <w:t>- 25 - imposable de l’intimée pour le premier nommé et 18% pour le second. Il convient donc de retenir une part des impôts d’un montant arrondi de 262 fr. (1’192 fr. x 0,22) dans les charges de l’enfant T.________ et de 214 fr. (1’192 fr. x 0,18) dans les charges de l’enfant V.________. La charge fiscale de l’intimée sera enfin de 716 fr. (1’192 fr. - [262 fr. + 214 fr.]).</w:t>
      </w:r>
    </w:p>
    <w:p>
      <w:r>
        <w:rPr>
          <w:b/>
        </w:rPr>
        <w:t>E. 4.4</w:t>
      </w:r>
    </w:p>
    <w:p>
      <w:r>
        <w:t>Le poste relatif au loyer invoqué par l’appelant (2’200 fr.) est particuliè-rement élevé pour une personne vivant seule. Au vu de la situation économique de celui-ci, à savoir la baisse de ses revenus et ses obligations d’entretien, il ne sera pas tenu compte de l’entier du loyer allégué (cf. TF 5A_1065/2020 du 2 décembre 2021 consid. 4.1.3, FamPra.ch 2022 p. 256 ; TF 5A_679/2019 du 5 juillet 2021 consid. 16.1.1 ; TF 5A_365/2014 du 25 juillet 2014 consid. 3.1). L’appelant peut en effet vivre dans un logement au loyer plus modeste, de sorte qu’il y a lieu de retenir un montant de loyer de 1’800 fr. par mois. Dans le périmètre géographique dans lequel l’appelant a élu domicile, celui-ci pourra vraisemblablement trouver un logement répondant à ses besoins à un tel coût.</w:t>
      </w:r>
    </w:p>
    <w:p>
      <w:r>
        <w:rPr>
          <w:b/>
        </w:rPr>
        <w:t>E. 4.5</w:t>
      </w:r>
    </w:p>
    <w:p>
      <w:r>
        <w:t>Il y a lieu de procéder au calcul des contributions d’entretien en prenant en considération les paramètres susmentionnés, ainsi que ceux, non contestés, retenus par l’autorité de première instance. Le budget de l’appelant présente un disponible de 2’098 fr. 25 (8’159 fr. 60 - 6’061 fr. 35) et celui de l’intimée un disponible de 736 fr. 50 (4’800 fr. - 4’063 fr. 50). Les coûts directs des enfants des parties s’élèvent à 2’413 fr. (1’301 fr. 30 pour T.________ + 1’111 fr. 70 pour V.________). Compte tenu du principe de l’équivalence des prestations en argent et en nature, l’appelant doit assumer l’entier de l’entretien des enfants en argent, dès lors que l’intimée détient la garde exclusive de ceux-ci. On relève d’emblée que le disponible de l’intéressé ne permet pas de couvrir entièrement les coûts directs des enfants. Il convient par conséquent, selon la jurisprudence (cf. consid. 4.1.4 supra), de retirer du minimum vital du droit de la famille de l’appelant le poste relatif à la prime d’assurance de prévoyance liée, servant d’amortissement indirect pour</w:t>
      </w:r>
    </w:p>
    <w:p>
      <w:r>
        <w:t>- 26 - l’ancien domicile conjugal, par 501 fr. 20, ce poste ne figurant pour le surplus pas dans les charges de l’intimée. Le budget de l’appelant présente ainsi un disponible de 2’599 fr. 45 (8’159 fr. 60 - 5’560 fr. 15). Après avoir couvert les coûts directs des enfants, il lui reste un excédent de 186 fr. 45 (2’599 fr. 45 - 2’413 fr.). Compte tenu du montant modeste restant à l’appelant, il n’y a pas lieu de répartir l’excédent de la famille par « grandes et petites têtes ». L’appelant ne sera en outre pas astreint à verser une pension mensuelle à l’intimée, celle-ci bénéficiant d’un disponible propre plus important. Une faible part du disponible de l’appelant pourra toutefois servir à arrondir vers le haut les contributions d’entretien des enfants des parties. Ainsi, l’appelant doit être astreint à contribuer à l’entretien de l’enfant T.________ par le versement, d’avance le premier de chaque mois en mains de l’intimée, d’un montant de 1’350 fr. et de l’enfant V.________ par le versement, selon les mêmes modalités, d’un montant de 1’150 fr., dès le 1er août 2021, le dies a quo n’étant pas remis en cause.</w:t>
      </w:r>
    </w:p>
    <w:p>
      <w:r>
        <w:rPr>
          <w:b/>
        </w:rPr>
        <w:t>E. 5.1</w:t>
      </w:r>
    </w:p>
    <w:p>
      <w:r>
        <w:t>En définitive, l’appel doit être partiellement admis et l’ordonnance entreprise réformée dans le sens des considérants.</w:t>
      </w:r>
    </w:p>
    <w:p>
      <w:r>
        <w:rPr>
          <w:b/>
        </w:rPr>
        <w:t>E. 5.2</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général, le fait qu’une partie gagne ou perde à concurrence de quelques</w:t>
      </w:r>
    </w:p>
    <w:p>
      <w:r>
        <w:t>- 27 - pourcents n’est pas pris en considération (TF 5D_182/2017 du 31 octobre 2018 consid. 4.2.3 ; TF 4A_171/2021 du 27 avril 2021 consid. 5.2). Le tribunal peut s’écarter des règles générales et répartir les frais selon sa libre appréciation lorsque le litige relève du droit de la famille (art. 107 al. 1 let. c CPC).</w:t>
      </w:r>
    </w:p>
    <w:p>
      <w:r>
        <w:rPr>
          <w:b/>
        </w:rPr>
        <w:t>E. 5.2.1</w:t>
      </w:r>
    </w:p>
    <w:p>
      <w:r>
        <w:t>En l’espèce, l’appelant n’a pas conclu à la modification du chiffre du dispositif portant sur les frais et les dépens de première instance. Celui-ci indique que les frais et les dépens de la procédure de mesures provisionnelles suivent le sort de la cause au fond. L’autorité compétente statuera donc sur cette question dans son jugement au fond, de sorte qu’il n’y a pas lieu de fixer, à ce stade, les frais et les dépens de la procédure de mesures provisionnelles.</w:t>
      </w:r>
    </w:p>
    <w:p>
      <w:r>
        <w:rPr>
          <w:b/>
        </w:rPr>
        <w:t>E. 5.2.2</w:t>
      </w:r>
    </w:p>
    <w:p>
      <w:r>
        <w:t>En appel, l’appelant a conclu à une réduction des pensions mensuelles totales allouées par le premier juge de 7’100 fr. à 1’223 fr., soit à une réduction de 5’877 fr. par mois. Il a obtenu une réduction des contributions d’entretien de 7’100 fr. à 2’500 fr., soit à une réduction de 4’600 fr., correspondant à 78% de ses conclu-sions. L’intimée a conclu au rejet de l’appel. Il y a par conséquent lieu de considérer que l’appelant a obtenu gain de cause sur les quatre cinquièmes de ses conclusions. Ainsi, l’intimée devra supporter les frais judiciaires de deuxième instance à raison des quatre cinquièmes et l’appelant à raison d’un cinquième. Il y a par ailleurs lieu d’admettre que l’appelant a succombé sur l’entier de sa requête d’effet suspensif, l’admission partielle de celle-ci ne portant que sur l’arriéré des pensions. Partant, les frais judiciaires de deuxième instance, arrêtés à 1’400 fr., soit 1’200 fr. pour l’émolument d’arrêt (art. 65 al. 4 TFJC [tarif des frais judiciaires civils du 28 septembre 2010 ; BLV 270.11.5]) et 200 fr. pour l’émolument relatif à l’ordonnance d’effet suspensif (art. 7 al. 1 et 60 TFJC par analogie), seront mis par 440 fr. (240 fr. + 200 fr.) à la charge de l’appelant et par 960 fr. à la charge de l’intimée.</w:t>
      </w:r>
    </w:p>
    <w:p>
      <w:r>
        <w:t>- 28 -</w:t>
      </w:r>
    </w:p>
    <w:p>
      <w:r>
        <w:rPr>
          <w:b/>
        </w:rPr>
        <w:t>E. 5.3</w:t>
      </w:r>
    </w:p>
    <w:p>
      <w:r>
        <w:t>La charge des dépens de deuxième instance pour chaque partie étant évaluée à 2’400 fr. (art. 3 al. 2 et 7 TDC [tarif des dépens en matière civile du 23 novembre 2010 ; BLV 270.11.6]), l’intimée versera à l’appelant des dépens réduits de deuxième instance, arrêtés, selon la même clé de répartition que ci-dessus, à 1’440 francs. Par ces motifs, le Juge unique de la Cour d’appel civile prononce : I. L’appel est partiellement admis. II. L’ordonnance est réformée aux chiffres II à IV de son dispositif, comme il suit : II. dit que, dès et y compris le 1er août 2021, A.L.________ contribuera à l’entretien de son fils T.________, né le [...], par le régulier versement, d’avance le premier de chaque mois en mains de B.L.________, sous déduction des montants d’ores et déjà versés à ce titre, d’une pension mensuelle de 1’350 fr. (mille trois cent cinquante francs), allocations familiales en sus ; III. dit que, dès et y compris le 1er août 2021, A.L.________ contribuera à l’entretien de son fils V.________, né le [...], par le régulier versement, d’avance le premier de chaque mois en mains de B.L.________, sous déduction des montants d’ores et déjà versés à ce titre, d’une pension mensuelle de 1’150 fr. (mille cent cinquante francs), allocations familiales en sus ; IV. dit que A.L.________ ne doit verser aucune contribution d’entretien à B.L.________ ;</w:t>
      </w:r>
    </w:p>
    <w:p>
      <w:r>
        <w:t>- 29 - L’ordonnance est confirmée pour le surplus. III. Les frais judiciaires, arrêtés à 1’400 fr. (mille quatre cents francs), sont mis à la charge de l’appelant A.L.________ par 440 fr. (quatre cent quarante francs) et de l’intimée par 960 fr. (neuf cent soixante francs). IV. L’intimée B.L.________ doit verser à l’appelant A.L.________ la somme de 1’440 fr. (mille quatre cent quarante francs) à titre de dépens réduits de deuxième instance. V. L’arrêt est exécutoire. Le juge unique : Le greffier : Du Le présent arrêt, dont la rédaction a été approuvée à huis clos, est notifié en expédition complète à : - Me Joëlle Manca, avocate (pour A.L.________), - Me Mélissa Elkaïm, avocate (pour B.L.________), et communiqué, par l’envoi de photocopies, à : - Mme la Présidente du Tribunal civil de l’arrondissement de l’Est vaudois.</w:t>
      </w:r>
    </w:p>
    <w:p>
      <w:r>
        <w:t>- 30 -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