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TD20.051032 vom 3. Dezember 2024</w:t>
      </w:r>
    </w:p>
    <w:p>
      <w:r>
        <w:t>VD Tribunal cantonal, 2024-12-03, FR</w:t>
      </w:r>
    </w:p>
    <w:p>
      <w:r>
        <w:rPr>
          <w:b/>
        </w:rPr>
        <w:t xml:space="preserve">Quelle: </w:t>
      </w:r>
      <w:r>
        <w:t>https://mcp.opencaselaw.ch/entscheid/vd_gerichte_TD20.051032</w:t>
      </w:r>
    </w:p>
    <w:p>
      <w:r>
        <w:t>FR: VD_GERICHTE TD20.051032 du 3 décembre 2024</w:t>
      </w:r>
    </w:p>
    <w:p>
      <w:r>
        <w:t>IT: VD_GERICHTE TD20.051032 del 3 dicembre 2024</w:t>
      </w:r>
    </w:p>
    <w:p>
      <w:pPr>
        <w:pStyle w:val="Heading2"/>
      </w:pPr>
      <w:r>
        <w:t>Erwägungen</w:t>
      </w:r>
    </w:p>
    <w:p>
      <w:r>
        <w:rPr>
          <w:b/>
        </w:rPr>
        <w:t>E. 3.1</w:t>
      </w:r>
    </w:p>
    <w:p>
      <w:r>
        <w:t>Dans un premier moyen, l’appelant soutient deux aspects : qu’il y aurait lieu d’appliquer par anticipation le principe du clean break et que la question devrait être tranchée dans le jugement au fond, alors qu’une audience de jugement était prévue pour le 23 septembre 2024.</w:t>
      </w:r>
    </w:p>
    <w:p>
      <w:r>
        <w:rPr>
          <w:b/>
        </w:rPr>
        <w:t>E. 3.2.1</w:t>
      </w:r>
    </w:p>
    <w:p>
      <w:r>
        <w:t>La transaction judiciaire est un acte consensuel par lequel les parties mettent fin à leur litige ou à une incertitude au sujet de leur relation juridique moyennant des concessions réciproques (ATF 132 III 737 consid. 1.3 ; TF 4A_298/2014 du 4 décembre 2014 consid. 3.4). Elle doit être interprétée selon les règles applicables au contrat, soit selon les art. 1 et 18 CO (Code des obligations du 30 mars 1911 ; RS 220) (ATF 143 III 564 consid. 4.4.1 ; TF 4A_456/2019 du 8 avril 2020 consid. 4.1 ; TF 4A_185/2017 du 15 juin 2017 consid. 4.2 ; TF 5A_521/2015 du 11 février 2016 consid. 3.3).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les réf. cit.). Face à un litige sur l’interprétation d’une clause contractuelle, le juge, en application de l’art. 18 al. 1 CO, doit tout d’abord s’efforcer de déterminer la commune et réelle intention des parties, sans s’arrêter aux expressions ou dénominations inexactes dont elles ont pu se servir, soit par erreur, soit pour déguiser la nature véritable de la convention (ATF</w:t>
      </w:r>
    </w:p>
    <w:p>
      <w:r>
        <w:t>- 7 - 143 III 157 consid. 1.2.2 ; ATF 142 III 239 consid. 5.2.1). Si la volonté réelle de celles-ci ne peut pas être établie ou si elle est divergente, le juge doit rechercher, selon le principe de la confiance, le sens que, d’après les règles de la bonne foi, chacune des parties pouvait et devait raisonnablement prêter aux déclarations de volonté de l’autre, en tenant compte des termes dans lesquels elles ont été formulées, ainsi que du contexte et de l’ensemble des circonstances dans lesquelles elles ont été émises (interprétation dite objective ou normative : ATF 144 III 93 consid. 5.2.3 ; ATF 133 III 675 consid. 3.3. ; ATF 133 III 61 consid. 2.2.1 ; ATF 131 III 377, JdT 2005 I 612 consid. 4.2.1 et les réf. cit.). Lorsqu’il s’agit d’interpréter une convention qui devrait, pour produire ses effets, être ratifiée par le juge, la volonté déterminante pour l’interprétation de la convention est la volonté présumée des parties sur la base de laquelle le juge a ratifié la convention, pour lui donner valeur de décision judiciaire (ATF 143 III 520 consid. 6.2).</w:t>
      </w:r>
    </w:p>
    <w:p>
      <w:r>
        <w:rPr>
          <w:b/>
        </w:rPr>
        <w:t>E. 3.2.2</w:t>
      </w:r>
    </w:p>
    <w:p>
      <w:r>
        <w:t>Une fois que des mesures protectrices de l’union conjugale ou des mesures provisionnelles dans la procédure de divorce ont été prononcées, elles ne peuvent être modifiées qu’aux conditions de l’art. 179 CC (Code civil suisse du 10 décembre 1907 ; RS 210) applicable directement pour les premières, par renvoi de l’art. 276 al. 1 CPC pour les secondes (TF 5A_154/2019 du 1er octobre 2019 consid. 4.1 ; TF 5A_617/2017 du 28 septembre 2017 consid. 3.1).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 cit.).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w:t>
      </w:r>
    </w:p>
    <w:p>
      <w:r>
        <w:t>- 8 - pas réalisés comme prévu (ATF 141 III 376 consid. 3.3.1 ; ATF 129 III 60 consid. 2 ; TF 5A_436/2020 du 5 février 2021 consid. 4.1 ; TF 5A_617/2017 du 28 septembre 2017 consid. 3.1 ; TF 5A_842/2015 du 26 mai 2016 consid. 2.4.2, non publié in ATF 142 III 518).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mêmes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enligne de compte dans cette hypothèse qu’en cas de vice de la volonté (erreur, dol ou crainte fondée), une erreur sur le caput controversum étant exclue (ATF 142 III 518 consid. 2.6.2 ; cf. de Weck-Immelé, ibidem). Il en va autrement si les mesures ordonnées sont des mesures intermédiaires. Constituent des mesures protectrices ou provisionnelles intermédiaires celles qui sont ordonnées, en procédure contradictoire et non par voie de mesures superprovisionnelles, dans l’attente d’un fait</w:t>
      </w:r>
    </w:p>
    <w:p>
      <w:r>
        <w:t>- 9 - futur aux effets encore incertains, ou dans l’attente du résultat d’une mesure d’instruction au long cours et dont la modification selon l’effet du fait futur ou le résultat de la mesure d’instruction est d’emblée réservée (cf. Bonhet, CPra-Matrimonial, 2016, nn. 37 et 64 ad art. 276 CPC). Constituent également de telles mesures celles qui sont ordonnées pour une durée déterminée ou sous la réserve qu’elles seront ou pourront être revues, sans autres conditions, à compter d’un certain temps. Lorsque de telles mesures ont été ordonnées, les parties n’ont pas encore, une fois le terme dépassé, à justifier d’un changement de circonstances pour requérir une modification (Juge unique CACI 31 mars 2022/176 consid. 5.2.3).</w:t>
      </w:r>
    </w:p>
    <w:p>
      <w:r>
        <w:rPr>
          <w:b/>
        </w:rPr>
        <w:t>E. 3.2.3</w:t>
      </w:r>
    </w:p>
    <w:p>
      <w:r>
        <w:t>Avant le divorce, le principe de la solidarité matrimoniale demeure applicable, de sorte que les conjoints sont responsables l’un envers l’autre des effets que le partage des tâches adopté durant le mariage a pu avoir sur la capacité de gain de l’un des époux (TF 5A_645/2020 du 19 mai 2021 consid. 5.3 ; Stoudmann, Le divorce en pratique, 2e éd., 2023, pp. 307 s.). Le principe du clean break (ou de l’indépendance économique des époux après le divorce) ne joue en tant que tel aucun rôle dans le cadre des mesures provisionnelles (TF 5A_267/2018 du 5 juillet 2018 consid. 5.3) ou des mesures protectrices de l’union conjugale (Stoudmann, op. cit., p. 308).</w:t>
      </w:r>
    </w:p>
    <w:p>
      <w:r>
        <w:rPr>
          <w:b/>
        </w:rPr>
        <w:t>E. 3.2.4</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2005 II 227 ; TF 5A_935/2021 du 19 décembre 2022 consid. 3.1).</w:t>
      </w:r>
    </w:p>
    <w:p>
      <w:r>
        <w:rPr>
          <w:b/>
        </w:rPr>
        <w:t>E. 3.3</w:t>
      </w:r>
    </w:p>
    <w:p>
      <w:r>
        <w:t>L’appelant conteste la reprise de la contribution d’entretien sous l’angle provisionnel au motif que les époux sont séparés depuis maintenant sept ans et en sont au stade procédural de l’audience de</w:t>
      </w:r>
    </w:p>
    <w:p>
      <w:r>
        <w:t>- 10 - jugement de divorce, de sorte qu’ils auraient dû être l’objet d’un examen anticipant ledit jugement et que, par voie de conséquence, la première juge aurait dû appliquer le principe du clean break par anticipation. Comme relevé plus haut, non seulement il était correct de retenir que la convention ne prévoyait qu’une suspension temporaire, d’autant plus qu’elle mentionnait que chaque partie devait informer l’autre d’un changement de situation, ce qui allait aboutir logiquement à un réexamen de la situation financière des deux époux, mais il est également acquis que le principe du clean break ne joue aucun rôle dans le cadre présent des mesures provisionnelles (supra consid. 3.2.3). Il était donc pertinent non seulement de reprendre l’examen de la situation financière des parties, mais aussi de ne pas appliquer le principe du clean break à ce stade de la procédure de divorce, quand bien même aucune reprise de la vie commune n’est envisageable. Le grief, mal fondé, doit être rejeté.</w:t>
      </w:r>
    </w:p>
    <w:p>
      <w:r>
        <w:rPr>
          <w:b/>
        </w:rPr>
        <w:t>E. 4.1</w:t>
      </w:r>
    </w:p>
    <w:p>
      <w:r>
        <w:t>Dans un deuxième moyen, l’appelant soutient que son budget a été mal apprécié en raison du fait qu’il a deux de ses trois enfants majeurs à sa charge et que ces charges doivent être prises en compte, mais aussi au motif que sa charge fiscale a été sous-estimée. Tout au moins, c’est ainsi que l’on comprend le moyen soulevé.</w:t>
      </w:r>
    </w:p>
    <w:p>
      <w:r>
        <w:rPr>
          <w:b/>
        </w:rPr>
        <w:t>E. 4.2</w:t>
      </w:r>
    </w:p>
    <w:p>
      <w:r>
        <w:t>Conformément à la jurisprudence fédérale, dans le cadre de l’évaluation de la situation financière des parties, en cas de ressources insuffisantes, soit lorsque le minimum vital LP, mais également le minimum vital élargi du parent débiteur notamment n’est pas couvert, l’obligation d’entretien envers l’ex-conjoint prévaut sur celle envers l’enfant majeur. Dans de telles circonstances, les frais d’entretien de l’enfant adulte ne doivent donc pas être inclus dans le minimum vital élargi de la partie débitrice d’aliments (ATF 146 III 169 consid. 4.2).</w:t>
      </w:r>
    </w:p>
    <w:p>
      <w:r>
        <w:rPr>
          <w:b/>
        </w:rPr>
        <w:t>E. 4.3</w:t>
      </w:r>
    </w:p>
    <w:p>
      <w:r>
        <w:t>- 11 -</w:t>
      </w:r>
    </w:p>
    <w:p>
      <w:r>
        <w:rPr>
          <w:b/>
        </w:rPr>
        <w:t>E. 4.3.1</w:t>
      </w:r>
    </w:p>
    <w:p>
      <w:r>
        <w:t>L’appelant affirme tout d’abord que c’est à tort que la première juge n’a pas tenu compte dans l’établissement de sa situation financière de la charge que représente ses enfants sur son budget. Or, comme le relève à juste titre l’intimée et au vu de la jurisprudence fédérale précitée, les charges des enfants, qui sont au demeurant les trois majeurs, doivent non seulement céder le pas à l’entretien de l’intimée, mais sont de plus couvertes par les rentes de l’assurance-invalidité qui leur sont directement destinées, comme cela ressort de la pièce no 1 produite à l’appui de la réponse. C’est donc à raison que la première juge n’a pas compté les frais des enfants majeurs dans les charges de l’appelant.</w:t>
      </w:r>
    </w:p>
    <w:p>
      <w:r>
        <w:rPr>
          <w:b/>
        </w:rPr>
        <w:t>E. 4.3.2</w:t>
      </w:r>
    </w:p>
    <w:p>
      <w:r>
        <w:t>Quant à sa charge fiscale, l’appelant affirme que celle-ci a été largement sous-estimée. Selon lui, le versement rétroactif en 2023 du capital de 136'000 fr. relatif à la rente de l’assurance-invalidité aurait été omis par la première juge dans le calcul de ses impôts. En l’occurrence, sa charge d’impôt a été ventilée sur trois périodes fiscales (2022 à 2024) afin de justement tenir compte de ce rétroactif. Par ailleurs, dès lors qu’ils sont majeurs, les enfants devraient être imposés sur les rentes dont ils bénéficient directement, de sorte que la charge fiscale de l’appelant en serait réduite proportionnellement (art. 82 al. 1 RAI [Règlement sur l’assurance-invalidité du 17 janvier 196 ; RS 831.201) (TF 2C_139/2022 du 31 août 2022 consid. 3.3.2.4 ; TF 2C_164/2007 du 17 octobre 2007 consid. 2.3). Le montant d’impôt calculé par la première juge n’est partant pas critiquable. Le grief est rejeté dans son ensemble.</w:t>
      </w:r>
    </w:p>
    <w:p>
      <w:r>
        <w:rPr>
          <w:b/>
        </w:rPr>
        <w:t>E. 5.1</w:t>
      </w:r>
    </w:p>
    <w:p>
      <w:r>
        <w:t>Dans un troisième et dernier moyen, l’appelant soutient qu’il a utilisé les moyens déjà perçus pour payer des dettes échues et que, compte tenu de tous ces paiements, il ne bénéficierait plus d’un montant de 8'109 fr., comme calculé par la première juge.</w:t>
      </w:r>
    </w:p>
    <w:p>
      <w:r>
        <w:rPr>
          <w:b/>
        </w:rPr>
        <w:t>E. 5.2</w:t>
      </w:r>
    </w:p>
    <w:p>
      <w:r>
        <w:t>Les dettes personnelles, notamment d’impôts, envers un tiers passent après l’entretien et ne font pas partie du minimum vital de droit</w:t>
      </w:r>
    </w:p>
    <w:p>
      <w:r>
        <w:t>- 12 - des poursuites d’un époux (ATF 140 III 337 consid. 4.4, JdT 2015 II 227 ; TF 5A_780/2015 du 10 mai 2016 consid. 2.7 ; TF 5A_141/2014 du 28 avril 2014 consid. 3.1). 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références ; TF 5A_619/2013 du 10 mars 2014 consid. 2.3.1; TF 5A_453/2009 du</w:t>
      </w:r>
    </w:p>
    <w:p>
      <w:r>
        <w:rPr>
          <w:b/>
        </w:rPr>
        <w:t>E. 5.3</w:t>
      </w:r>
    </w:p>
    <w:p>
      <w:r>
        <w:t>Là encore, et comme le rappelle à raison l’intimée, il faut relever d’abord que les contributions à l’entretien de l’épouse priment les dette personnelles du débirentier, notamment en matière fiscale, immobilière ou encore sociale (cf. art. 219 al. 4 LP [Loi fédérale sur la poursuite pour dettes et faillite du 11 avril 1889 ; RS 281.1]). Ainsi, le paiement des arriérés d’impôts de l’appelant et le remboursement par celui-ci de la bourse d’étude d’un de ses enfants étaient subsidiaires à son obligation d’entretien. Il ne peut ainsi se prévaloir d’une situation financière précaire en raison de ses versements. Ensuite, l’appelant n’a pas avisé immédiatement l’intimée du fait qu’il avait été mis au bénéfice d’une rente AI et LPP le 20 juin 2023, avec effet rétroactif au mois de mai 2022, puisque l’intimée ne l’a appris que près de huit mois plus tard selon ses allégations, et cela quand bien même la convention de 2021 prévoyait un engagement d’information mutuelle quant à leur situation professionnelle respective. Il ne peut dès lors pas invoquer des charges financières qui n’auraient dues être acquittées qu’après le paiement de la contribution d’entretien. Le grief est partant infondé.</w:t>
      </w:r>
    </w:p>
    <w:p>
      <w:r>
        <w:t>- 13 - 6. 6.1 En définitive, l’appel doit être rejeté et l’ordonnance confirmée. 6.2 Les frais judiciaires de deuxième instance, arrêtés à 600 fr. (65 al. 2 TFJC [Tarif des frais judiciaires civils du 28 septembre 2010 ; BLV 270.11.5]), sont mis à la charge de l’appelant, qui succombe (art. 106 al. 1 CPC). L’appelant versera à l’intimée un montant de 1’800 fr. (art. 3 al. 2 et 7 TDC [Tarif des dépens en matière civile du 23 novembre 2010 ; BLV 270.11.6]) à l’intimée à titre de dépens de deuxième instance.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avocat‑stagiaire (art. 2 al. 1 let. a et b RAJ [Règlement du 7 décembre 2010 sur l’assistance judiciaire en matière civile ; BLV 211.02.3]). 6.3.2 Me Manuela Ryter Godel, conseil d’office de l’intimée, a produit sa liste d’opérations le 18 novembre 2024, celle-ci faisant état dans le dossier de 6 heures et 10 minutes de travail pour la période du 20 août au 18 novembre 2024. Compte tenu de la nature et de la complexité de la cause, le temps indiqué peut être admis. L’indemnité d’office de Me Manuela Ryter Godel doit donc être arrêtée à 1'110’ fr. (6h10 x 180 fr.), montant auquel il convient d’ajouter les débours par 22 fr. 20 (2% de 1'110 fr. [art. 3bis al. 1 RAJ]) ainsi que la TVA à 8,1% sur l’ensemble soit 91 fr. 70, pour un total de 1'223 fr. 90.</w:t>
      </w:r>
    </w:p>
    <w:p>
      <w:r>
        <w:t>- 14 - 6.4 La bénéficiaire de l’assistance judiciaire est tenue au remboursement des frais judiciaires et de l’indemnité de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de droit privé judiciaires vaudois du 12 janvier 2010 ; BLV 211.02]). Par ces motifs, le Juge unique de la Cour d’appel civile prononce : I. L’appel est rejeté. II. L’ordonnance est confirmée. III. Les frais judiciaires de deuxième instance, arrêtés à 600 fr. (six cents francs), sont mis à la charge de l’appelant A.B.________. IV. L’appelant A.B.________ versera à l’intimée B.B.________ un montant de 1'800 fr. (mille huit cents francs) à titre de dépens de deuxième instance. V. L’indemnité de Me Manuela Ryter Godel, conseil d’office de l’intimée B.B.________, est arrêtée à 1'223 fr. 90 (mille deux cent vingt-trois francs et nonante centimes), débours et TVA compris. VI. La bénéficiaire de l’assistance judiciaire est, dans la mesure de l’art. 123 CPC, tenue au remboursement de l’indemnité versée à son conseil d’office, provisoirement supportée par l’Etat.</w:t>
      </w:r>
    </w:p>
    <w:p>
      <w:r>
        <w:t>- 15 - VII. L’arrêt est exécutoire. Le juge unique : Le greffier : Du Le présent arrêt, dont la rédaction a été approuvée à huis clos, est notifié en expédition complète à : - Me Lorraine Ruf (pour A.B.________), - Me Manuel Ryter Godel (pour B.B.________),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Le greffier :</w:t>
      </w:r>
    </w:p>
    <w:p>
      <w:r>
        <w:rPr>
          <w:b/>
        </w:rPr>
        <w:t>E. 9</w:t>
      </w:r>
    </w:p>
    <w:p>
      <w:r>
        <w:t>novembre 2009 consid. 4.3.2 et les références ; TF 5A_1029/2015 du 1er juin 2016 consid. 3.3.1.3 ; TF 5A_1032/2019 du 9 juin 2020 consid. 3.2). De surcroît, seules les charges effectives, dont le débirentier s'acquitte réellement, doivent être prises en compte (ATF 121 III 20 consid. 3a ; ATF 126 III 89 consid. 3b ; TF 5A_236/2011 du 18 octobre 2011 consid. 4.1.3 ; TF 5A_65/2013 du 4 septembre 2013 consid. 3.2.1). Cette prise en compte des dettes communes ne vaut que lorsque les minima vitaux des parties sont couverts (ATF 140 III 337 consid. 4.4, JdT 2015 II 227).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