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TD20.036753 vom 19. April 2024</w:t>
      </w:r>
    </w:p>
    <w:p>
      <w:r>
        <w:t>VD Tribunal cantonal, 2024-04-19, FR</w:t>
      </w:r>
    </w:p>
    <w:p>
      <w:r>
        <w:rPr>
          <w:b/>
        </w:rPr>
        <w:t xml:space="preserve">Quelle: </w:t>
      </w:r>
      <w:r>
        <w:t>https://mcp.opencaselaw.ch/entscheid/vd_gerichte_TD20.036753</w:t>
      </w:r>
    </w:p>
    <w:p>
      <w:r>
        <w:t>FR: VD_GERICHTE TD20.036753 du 19 avril 2024</w:t>
      </w:r>
    </w:p>
    <w:p>
      <w:r>
        <w:t>IT: VD_GERICHTE TD20.036753 del 19 aprile 2024</w:t>
      </w:r>
    </w:p>
    <w:p>
      <w:pPr>
        <w:pStyle w:val="Heading2"/>
      </w:pPr>
      <w:r>
        <w:t>Erwägungen</w:t>
      </w:r>
    </w:p>
    <w:p>
      <w:r>
        <w:rPr>
          <w:b/>
        </w:rPr>
        <w:t>E. 1</w:t>
      </w:r>
    </w:p>
    <w:p>
      <w:r>
        <w:t>L’appelant, né le [...] 1973, et l’intimée, née le [...] 1980, se sont mariés le [...] 2002 en [...]. Deux enfants sont issus de cette union : K.________, née le [...] 2003, aujourd’hui majeure, et G.________, né le [...] 2006.</w:t>
      </w:r>
    </w:p>
    <w:p>
      <w:r>
        <w:rPr>
          <w:b/>
        </w:rPr>
        <w:t>E. 1.1</w:t>
      </w:r>
    </w:p>
    <w:p>
      <w:r>
        <w:t>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L'appel a été déposé par une partie ayant un intérêt digne de protection (art. 59 al. 2 let. a CPC) à la contester, ceci dans le délai prescrit. Il est donc formellement recevable, sous les réserves qui suivent.</w:t>
      </w:r>
    </w:p>
    <w:p>
      <w:r>
        <w:rPr>
          <w:b/>
        </w:rPr>
        <w:t>E. 1.3</w:t>
      </w:r>
    </w:p>
    <w:p>
      <w:r>
        <w:t>Pour être recevable, l'appel doit être motivé et comporter des conclusions (art. 311 al. 1 CPC). Il faut donc que l'appelant explicite dans quelle mesure la décision attaquée doit être modifiée ou annulée (ATF 137 III 617 consid. 4.2.2, JdT 2012 III 23 et réf. cit. ; TF 5A_949/2021 du 13 décembre 2021 consid. 3), ses conclusions pouvant être interprétées à la lumière de la motivation de l'appel. Elles doivent en principe être libellées de telle manière que l'autorité d'appel puisse, s'il y a lieu, les incorporer sans modification au dispositif de sa propre décision. Les conclusions portant sur des prestations en argent doivent être chiffrées (art. 84 al. 2 CPC), sous peine d'irrecevabilité (ATF 137 III 617 consid. 4.2 et 4.3 ; TF 5A_779/2021, 5A_787/2021 du 16 décembre 2022 consid. 3.1 ; TF 5A_453/2022 du 13 décembre 2022 consid. 3.1). L’appelant ne saurait, sous peine d’irrecevabilité, se limiter à conclure à l’annulation de la décision attaquée, l’appel ordinaire ayant un effet réformatoire ; il doit au contraire prendre des conclusions au fond</w:t>
      </w:r>
    </w:p>
    <w:p>
      <w:r>
        <w:t>- 6 -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1er septembre 2020 consid. 4 ; TF 4A_426/2019 du 12 septembre 2019 consid. 5.1 ; TF 5A_792/2016 du 23 janvier 2017 consid. 1.2). Ainsi, lorsque le recourant se contente de conclure à l’annulation de la décision litigieuse et à ce qu’il soit statué dans le sens des considérants, l’instance supérieure ne viole pas l’interdiction du formalisme excessif en déclarant le recours irrecevable faute pour les conclusions d’être suffisamment chiffrées et de permettre une éventuelle réforme du jugement (ATF 137 III 617 consid. 4 ss ; TF 5A_65/2022 précité consid. 3.3.1 ; TF 5A_779/2021, 5A_787/2021 précité consid. 4.3.1 ; TF 5A_164/2019 du 20 mai 2020 consid. 4.3, non publié in ATF 146 III 203). Il ne saurait être remédié à des conclusions déficientes par la fixation d'un délai de l'art. 132 CPC, un tel vice n'étant pas d'ordre purement formel et affectant l'appel de façon irréparable (ATF 137 III 617 consid. 6.4, JdT 2014 II 187 ; TF 5A_959/2023 du 23 janvier 2024 consid. 3.2 ; TF 5A_65/2022 précité consid. 3.5.1 ; CACI 28 février 2024/96 consid. 3.1).</w:t>
      </w:r>
    </w:p>
    <w:p>
      <w:r>
        <w:rPr>
          <w:b/>
        </w:rPr>
        <w:t>E. 1.4.1</w:t>
      </w:r>
    </w:p>
    <w:p>
      <w:r>
        <w:t>En l'espèce, l'appelant conclut tout d'abord à une répartition équitable des avantages acquis de l'intimée, proportionnelle à ce qu'il est tenu de payer. Si l'on comprend des motifs de l'appel que le principe de la fixation de contribution d'entretien fondée sur la prise en compte d'un revenu hypothétique pour l'appelant est contestée, la conclusion précitée n'y fait pas directement référence. Elle ne mentionne que les « avantages acquis » de l'intimée sans les préciser. Dès lors, la Cour de céans est dans l'incapacité de déterminer l'objet de la conclusion. De plus, l'étendue de la répartition desdits avantages, manifestement d'ordre patrimonial, aurait</w:t>
      </w:r>
    </w:p>
    <w:p>
      <w:r>
        <w:t>- 7 - dû faire l'objet d'un chiffrage. Au vu de ces éléments, la conclusion est irrecevable.</w:t>
      </w:r>
    </w:p>
    <w:p>
      <w:r>
        <w:rPr>
          <w:b/>
        </w:rPr>
        <w:t>E. 1.4.2</w:t>
      </w:r>
    </w:p>
    <w:p>
      <w:r>
        <w:t>L'appelant conclut également à ce que les contributions d'entretien mises à sa charge soient calculées, dès le mois de juin ou juillet 2020, sur la base de son salaire réel. Cette conclusion n'est cependant pas chiffrée, contrairement aux exigences mentionnées ci- dessus. Au demeurant, les motifs de l'appel ne comprennent pas de calcul, si bien que la Cour de céans n'est pas en mesure de déterminer l'étendue de la modification demandée par l'appelant. Cette conclusion est également irrecevable.</w:t>
      </w:r>
    </w:p>
    <w:p>
      <w:r>
        <w:rPr>
          <w:b/>
        </w:rPr>
        <w:t>E. 1.4.3</w:t>
      </w:r>
    </w:p>
    <w:p>
      <w:r>
        <w:t>II en va de même de la conclusion « alternative » prise par l'appelant et tendant à ce qu'une partie de ses « avantages acquis » soit allouée à la partie adverse. L'objet de cette conclusion ne ressort pas des motifs, si bien que la Cour de céans n'est pas en mesure de déterminer la prétention de l'appelant.</w:t>
      </w:r>
    </w:p>
    <w:p>
      <w:r>
        <w:rPr>
          <w:b/>
        </w:rPr>
        <w:t>E. 2</w:t>
      </w:r>
    </w:p>
    <w:p>
      <w:r>
        <w:t>a) Par prononcé de mesures protectrices de l'union conjugale du 21 novembre 2019, la Présidente du Tribunal civil de l'arrondissement</w:t>
      </w:r>
    </w:p>
    <w:p>
      <w:r>
        <w:t>- 4 - de La Côte a notamment et en substance autorisé les parties à vivre séparées (l), a confié la garde de leurs enfants à l’intimée (Il), a dit que l’appelant bénéficierait d'un libre et large droit de visite sur ses enfants (III), a attribué la jouissance du domicile conjugal sis à [...] à l’intimée (IV), a imparti un délai au 31 décembre 2019 à l’appelant pour quitter le domicile conjugal (V) et a dit que l’appelant contribuerait à l'entretien de ses enfants par le versement d'une pension mensuelle de 725 fr. chacun (VI et VII). b) L’appelant a déménagé en [...] en 2020. c) Par demande unilatérale du 18 mars 2021, l’intimée a notamment conclu, avec suite de frais judiciaires et dépens, au divorce des parties, à l’attribution du domicile conjugal en sa faveur, au maintien de l’autorité parentale conjointe, au versement de pensions pour les enfants de 725 fr. par mois chacun et au partage des avoirs de prévoyance accumulés durant le mariage. L’appelant s’est déterminé les 5 mai et 18 novembre 2021, ainsi que les 1er février, 11 février, 11 mars, 14 mai et 8 juin 2022. Il a indiqué ne pas s'opposer au principe du divorce mais s’opposer au partage de ses avoirs de prévoyance professionnelle. L’appelant a par ailleurs demandé à continuer de passer du temps avec ses enfants et à participer à toute décision majeure les concernant. Il a fait valoir que sa situation financière ne lui permettait pas de contribuer à l’entretien de ses enfants. Le 28 janvier 2022, les parties ont été informées que la procédure se poursuivrait selon les règles applicables aux requêtes communes en divorce avec accord partiel. Une audience de plaidoiries finales et de jugement a été tenue le 30 septembre 2022 en présence de l’intimée et de son conseil. L’appelant, demeuré en [...], ne s’est pas présenté ni fait représenter.</w:t>
      </w:r>
    </w:p>
    <w:p>
      <w:r>
        <w:t>- 5 - En d roit : 1.</w:t>
      </w:r>
    </w:p>
    <w:p>
      <w:r>
        <w:rPr>
          <w:b/>
        </w:rPr>
        <w:t>E. 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w:t>
      </w:r>
    </w:p>
    <w:p>
      <w:r>
        <w:t>- 8 - illimitée, les parties peuvent présenter des nova en appel même si les conditions de l'art. 317 al. 1 CPC ne sont pas réunies (ATF 144 III 349 consid. 4.2.1 et réf. cit.).</w:t>
      </w:r>
    </w:p>
    <w:p>
      <w:r>
        <w:rPr>
          <w:b/>
        </w:rPr>
        <w:t>E. 2.2</w:t>
      </w:r>
    </w:p>
    <w:p>
      <w:r>
        <w:t>En l'espèce, l'appelant produit deux pièces, soit une attestation de l'Office régional de placement de [...] du 11 juillet 2023, ainsi qu'une lettre de l'appelant à destination de la vice-présidente du Tribunal d'arrondissement de La Côte du 23 novembre 2020. Ces pièces ne figurent pas au dossier de première instance mais peuvent en principe être admises au regard de la maxime inquisitoire illimitée applicable en matière de contribution d'entretien pour un enfant mineur. Toutefois, les conclusions en lien avec la contestation de la pension fixée en faveur de G.________, fils des parties, sont irrecevables, si bien que les pièces produites n'ont plus de pertinence.</w:t>
      </w:r>
    </w:p>
    <w:p>
      <w:r>
        <w:rPr>
          <w:b/>
        </w:rPr>
        <w:t>E. 3</w:t>
      </w:r>
    </w:p>
    <w:p>
      <w:r>
        <w:t>Dans les motifs de son appel, l'appelant conteste que la procédure de divorce ait été qualifiée « d'accord mutuel ». On ne perçoit toutefois pas ce qu'il entend obtenir d'une requalification de la procédure en procédure unilatérale, si bien que son grief est irrecevable. Au demeurant, on relèvera que l'appelant a bien déclaré ne pas s'opposer au principe du divorce et que c'est ainsi à juste titre que la procédure a été menée en qualité de procédure avec accord partiel.</w:t>
      </w:r>
    </w:p>
    <w:p>
      <w:r>
        <w:rPr>
          <w:b/>
        </w:rPr>
        <w:t>E. 4</w:t>
      </w:r>
    </w:p>
    <w:p>
      <w:r>
        <w:t>L'appelant conteste ensuite l'appréciation des premiers juges quant à ses opportunités d'emploi en Suisse et aux motifs de son départ en [...], respectivement quant aux fondements du calcul des contributions d'entretien mises à sa charge. En particulier, il estime qu'il convenait de tenir compte de son salaire réel, du niveau de vie en [...], de sa capacité à payer les contributions et des incertitudes liées à la situation de l'[...]. Comme évoqué plus haut (supra consid. 1.4), les conclusions liées aux contributions d'entretien sont irrecevables, si bien qu'il n'y a pas lieu d'examiner les griefs formulés. A toutes fins utiles, on relèvera que</w:t>
      </w:r>
    </w:p>
    <w:p>
      <w:r>
        <w:t>- 9 - l'appelant ne procède à aucune critique concrète du calcul effectué par les premiers juges quant aux contributions d'entretien et ne procède lui- même pas à un calcul explicite. Ses griefs, pour autant que considérés suffisamment motivés, n'auraient ainsi pas pu être accueillis.</w:t>
      </w:r>
    </w:p>
    <w:p>
      <w:r>
        <w:rPr>
          <w:b/>
        </w:rPr>
        <w:t>E. 5.1</w:t>
      </w:r>
    </w:p>
    <w:p>
      <w:r>
        <w:t>L'appelant conteste encore que les frais de représentation légale de l'intimée en première instance, par l'intermédiaire de dépens, aient été partiellement mis à sa charge.</w:t>
      </w:r>
    </w:p>
    <w:p>
      <w:r>
        <w:rPr>
          <w:b/>
        </w:rPr>
        <w:t>E. 5.2</w:t>
      </w:r>
    </w:p>
    <w:p>
      <w:r>
        <w:t>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5D_84/2023 du 23 février 2024 consid. 4.3).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 CPC), soit le TDC (tarif des dépens en matière civile du 23 novembre 2010 ; BLV 270.11.6).</w:t>
      </w:r>
    </w:p>
    <w:p>
      <w:r>
        <w:rPr>
          <w:b/>
        </w:rPr>
        <w:t>E. 5.3</w:t>
      </w:r>
    </w:p>
    <w:p>
      <w:r>
        <w:t>La conclusion prise par l'appelant quant aux dépens de première instance ne fait l'objet d'aucune motivation particulière dans son appel. Cela étant, il ressort de la conclusion elle-même qu'il considère injuste que des dépens aient été mis à sa charge. Les premiers juges ont considéré que l'intimée avait obtenu largement gain de cause, si bien que l'appelant devait être chargé des</w:t>
      </w:r>
    </w:p>
    <w:p>
      <w:r>
        <w:t>- 10 - deux tiers des frais. Les dépens ont été calculés sur la base de cette proportion en prenant comme fondement l'indemnité allouée au conseil d'office de l'intimée. Il ressort du jugement attaqué que l'appelant avait conclu en première instance en particulier à ce que ses avoirs de deuxième pilier ne soient pas partagés et en substance à ce que l'autorité parentale conjointe soit maintenue, respectivement à ce qu'il puisse voir ses enfants. Il a en outre contesté devoir contribuer financièrement à l'entretien de ses enfants. L'appréciation des premiers juges ne peut qu'être confirmée, l'appelant ayant succombé sur l'ensemble de ses prétentions, sous réserve du maintien de l'autorité parentale conjointe et des visites. C'est ainsi à juste titre que les frais ont été mis principalement à sa charge. Pour le reste, l'appelant ne critique pas les montants retenus par les premiers juges, si bien qu'il y a lieu de les confirmer. Le grief doit être rejeté, dans la mesure de sa recevabilité.</w:t>
      </w:r>
    </w:p>
    <w:p>
      <w:r>
        <w:rPr>
          <w:b/>
        </w:rPr>
        <w:t>E. 6.1</w:t>
      </w:r>
    </w:p>
    <w:p>
      <w:r>
        <w:t>En définitive, l’appel doit être rejeté, dans la faible mesure de sa recevabilité, selon le mode procédural de l’art. 312 al. 1 in fine CPC, et le jugement doit être confirmé.</w:t>
      </w:r>
    </w:p>
    <w:p>
      <w:r>
        <w:rPr>
          <w:b/>
        </w:rPr>
        <w:t>E. 6.2</w:t>
      </w:r>
    </w:p>
    <w:p>
      <w:r>
        <w:t>L’intimée n’ayant pas été invitée à se déterminer, sa demande d’assistance judiciaire, prématurée, est sans objet.</w:t>
      </w:r>
    </w:p>
    <w:p>
      <w:r>
        <w:rPr>
          <w:b/>
        </w:rPr>
        <w:t>E. 6.3</w:t>
      </w:r>
    </w:p>
    <w:p>
      <w:r>
        <w:t>Les frais judiciaires de deuxième instance, arrêtés à 600 fr. (art. 63 al. 1 TFJC [tarif des frais judiciaires civils du 28 septembre 2010 ; BLV 270.11.5]), sont mis à la charge de l’appelant, qui succombe entièrement (art. 106 al. 1 CPC).</w:t>
      </w:r>
    </w:p>
    <w:p>
      <w:r>
        <w:t>- 11 -</w:t>
      </w:r>
    </w:p>
    <w:p>
      <w:r>
        <w:rPr>
          <w:b/>
        </w:rPr>
        <w:t>E. 6.4</w:t>
      </w:r>
    </w:p>
    <w:p>
      <w:r>
        <w:t>Il n’y a pas lieu à l’allocation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