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TD20.026903 vom 27. November 2024</w:t>
      </w:r>
    </w:p>
    <w:p>
      <w:r>
        <w:t>VD Tribunal cantonal, 2024-11-27, FR</w:t>
      </w:r>
    </w:p>
    <w:p>
      <w:r>
        <w:rPr>
          <w:b/>
        </w:rPr>
        <w:t xml:space="preserve">Quelle: </w:t>
      </w:r>
      <w:r>
        <w:t>https://mcp.opencaselaw.ch/entscheid/vd_gerichte_TD20.026903</w:t>
      </w:r>
    </w:p>
    <w:p>
      <w:r>
        <w:t>FR: VD_GERICHTE TD20.026903 du 27 novembre 2024</w:t>
      </w:r>
    </w:p>
    <w:p>
      <w:r>
        <w:t>IT: VD_GERICHTE TD20.026903 del 27 novembre 2024</w:t>
      </w:r>
    </w:p>
    <w:p>
      <w:pPr>
        <w:pStyle w:val="Heading2"/>
      </w:pPr>
      <w:r>
        <w:t>Erwägungen</w:t>
      </w:r>
    </w:p>
    <w:p>
      <w:r>
        <w:rPr>
          <w:b/>
        </w:rPr>
        <w:t>E. 10</w:t>
      </w:r>
    </w:p>
    <w:p>
      <w:r>
        <w:t>août 2020 consid. 3.3.2 et réf. cit. ; TF 5A_361/2011 du 7 décembre 2011 consid. 5.3.1). En ce qui concerne les questions relatives aux enfants mineurs, l’art. 296 al. 1 CPC prévoit l’application de la maxime inquisitoire illimitée ;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réf. cit., FamPra.ch 2018 p. 1041 ; TF 5A_647/2021 du 19 novembre 2021 consid. 4.2.1 et réf. cit.). Dans cette mesure, il y a lieu d'admettre que, lorsque la procédure est soumise à la maxime inquisitoire illimitée, les</w:t>
      </w:r>
    </w:p>
    <w:p>
      <w:r>
        <w:t>- 14 - parties peuvent présenter des nova en appel même si les conditions de l'art. 317 al. 1 CPC ne sont pas réunies (ATF 144 III 349 consid. 4.2.1 et réf. cit.).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JdT 2003 I 66, SJ 2003 I 121, FamPra.ch 2003 p. 179 ; TF 5A_584/2022 du 18 janvier 2023 consid. 3.1.1). Par ailleurs, l’art. 296 al. 3 CPC prévoit que le tribunal n’est pas lié par les conclusions des parties. Cette disposition consacre la maxime d’office (ATF 128 III 411 précité consid.3.1 ; TF 5A_645/2022 du 5 juillet 2023 consid. 3.1.2 et réf. cit.). 2.2.2 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let. b CPC) (TF 5A_18/2018 du 16 mars 2018 consid. 4.3.2.1). Cette limitation ne vaut pas lorsque la maxime d’office est applicable, les conclusions des parties n’étant que des propositions qui ne lient pas le juge (art. 296 al. 3 CPC ; CACI 6 avril 2021/168 consid. 2.1.3). Le juge ne peut toutefois pas aller au-delà de l’objet du litige tel que fixé devant lui par les parties (ATF 137 III 617 consid. 4.5.2 et 4.5.3, JdT 2014 II 187). La faculté de prendre des conclusions en vertu de la maxime d’office ne permet ainsi pas à la partie qui n'a pas pris de conclusions actives en première instance de prendre des conclusions reconventionnelles pour la première fois en appel (cf. parmi plusieurs : CACI 27 septembre 2024/438 ; Chiocchetti, in Trezzini/Fornara/Cocchi/Bernasconi/ Chiocchetti, Commentario al Codice di diritto processuale civile svizzero, vol. 2, 2e éd. 2017, n. 95 ad 317 p. 1979 ; Reetz et Hilber, in Sutter-</w:t>
      </w:r>
    </w:p>
    <w:p>
      <w:r>
        <w:t>- 15 - Somm/Hasenbühler/Leuenberger (édit.), Kommentar zur Schweizerischen Zivilprozessordnung, 3e éd. 2016, n. 92 ad art. 317, p. 2593 ; Spühler, in Spühler/Terchio/Infanger (édit.), Basler Kommentar-ZPO, 3e éd. 2017, n. 20 ad art. 317 p. 1920 ; Steininger, in Brunner/Gasser/Schwander (édit.), Schweizerische Prozessordnung [DIKE-Kommentar], 2e éd. 2016, n. 10 ad art. 317 p. 2436). L’application des maximes inquisitoire et d’office prévue par l’art. 296 CPC s’étend à la procédure d’appel (TF 5A_895/2022 du 17 juillet 2023 consid. 9.3 et réf. cit.). 2.3 2.3.1 L'appelante indique vouloir introduire en procédure des faits nouveaux et formule une conclusion nouvelle portant sur le sort des acomptes d'impôts versés pour les années 2017 et 2018. D'emblée, il convient de rappeler que cet aspect du litige, dans la mesure où il ne concerne pas le sort des enfants, est soumis aux maximes des débats et de disposition (cf. consid. 2.2.1 supra). Les conditions fixées par l'art. 317 al. 1 CPC sont donc pleinement applicables. La lecture de la partie F du mémoire d'appel, intitulée « Des faits nouveaux », ne permet pas clairement de définir quels sont les faits réellement nouveaux et ceux, par hypothèse, qui auraient été déjà allégués dans le cadre de la procédure de première instance. Pour cette première raison, il ne saurait être entré en matière sur la requête puisque les exigences de motivation de l’art. 311 al. 1 CPC ne sont pas respectées. Cela étant, cette question peut rester indécise dans la mesure où, et c'est la seconde raison, il est manifeste que les éléments que l'appelante désire introduire en procédure ne répondent pas aux exigences fixées par l'art. 317 CPC. En effet, en substance, il est allégué que les acomptes d'impôts versés pour les années 2017 et 2018 seraient trop élevés et qu'il en résulterait un solde important dont il conviendrait de statuer sur le sort. Toutefois, l'appelante allègue elle-même avoir été interpellée au mois de septembre 2021 déjà quant à la répartition du montant à rembourser. Ainsi, depuis ce moment, elle sait non seulement que le montant est à disposition</w:t>
      </w:r>
    </w:p>
    <w:p>
      <w:r>
        <w:t>- 16 - mais également qu'il convient de trancher sa dévolution. L'appelante ne saurait dès lors faire valoir qu'il s'agirait de faits nouveaux, sous prétexte que son conseil fiscal aurait interpellé l'administration fiscale à la fin de l'année 2023 et, le cas échéant, que le montant à répartir serait finalement quelque peu plus élevé, sans doute en lien avec les intérêts acquis. L'échange de courriels du 20 décembre 2023 et le courrier du 26 décembre 2023 constituent manifestement des pièces élaborées aux fins de procédure et qui ne sauraient constituer un novum admissible, dans la mesure où les éléments qui y sont rapportés étaient connus ou pouvaient être connus de l'appelante bien avant cette date. Les faits figurant dans la partie F du mémoire d'appel, ainsi que les pièces nouvelles les appuyant, sont ainsi irrecevables. Il n'en va pas différemment de la conclusion en relation avec le sort des acomptes d'impôts litigieux, qui ne saurait réaliser les conditions de l'art. 317 al. 2 CPC, celle-ci ne reposant sur aucun fait et moyen de preuve nouveau admissible. 2.3.2 L'appelante produit encore en appel une attestation rédigée par son employeur relative aux cours qu'elle dispense le mercredi et le jeudi soir. Cette pièce doit être mise en relation avec les modalités de la garde alternée prévue par le jugement attaqué. Dans ce cadre, elle est recevable, la question étant soumise à la maxime inquisitoire illimitée. 2.3.3 L'intimé produit deux nouvelles pièces constituées toutes deux d'échanges WhatsApp entre les parties datant de janvier à septembre 2023 et portant sur les enfants. Au vu de la maxime inquisitoire illimitée applicable aux questions relatives au sort des enfants, ces pièces sont recevables. 3. 3.1 L’appelante conteste que les conditions soient réunies pour permettre la mise en place d’une garde alternée.</w:t>
      </w:r>
    </w:p>
    <w:p>
      <w:r>
        <w:t>- 17 - 3.2 Selon l’art. 298 al. 2ter CC, lorsque l’autorité parentale est exercée conjointement, le juge examine, selon le bien de l’enfant, la possibilité de la garde alternée, si le père, la mère ou l’enfant la demande. L’instauration d'une garde alternée s'inscrit dans le cadre de l’exercice conjoint de l'autorité parentale ;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On ne décidera d'une garde alternée ou partagée que si celle-ci est la meilleure solution pour le bien de l’enfant (TF 5A_266/2015 du 24 juin 2015 consid. 4.2.2.1 ; TF 5A_46/2015 du 26 mai 2015 consid. 4.4.3, FamPra.ch 2015 p. 987). Le juge doit ainsi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d’une bonne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w:t>
      </w:r>
    </w:p>
    <w:p>
      <w:r>
        <w:t>- 18 - portant sur des questions liées à l’enfant laisse présager des difficultés futures de collaboration et aura en principe pour conséquence d’exposer de manière récurrente l’enfant à une situation conflictuelle, ce qui apparaît contraire à son intérêt (ATF 142 III 617, loc. cit. ; TF 5A_700/2021 du 16 septembre 2022 consid. 3.1).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ATF 142 III 612 consid. 4.3) 3.3 Dans une argumentation ambivalente, l'appelante ne paraît pas réellement contester que chacune des parties dispose des capacités éducatives adéquates pour prendre en charge les enfants. En effet, si elle</w:t>
      </w:r>
    </w:p>
    <w:p>
      <w:r>
        <w:t>- 19 - mentionne un désintérêt de l'intimé quant aux questions logistiques ou aux suivis des enfants, elle indique que les premiers juges ont retenu correctement qu'aucun professionnel n'a posé de contre-indication quant à l'instauration d'une garde alternée, respectivement que rien n'indique que l'intimé ne disposerait pas des compétences parentales pour assumer un tel système de garde. Elle se réfère pour le reste aux explications formulées en première instance, ce qui est irrecevable. Ainsi, pour autant que l'on doive déduire un grief des considérants de l'appel, celui-ci ne peut qu'être déclaré irrecevable, sa motivation étant insuffisante au sens de l’art. 311 al. 1 CPC (ATF 141 III 569 consid. 2.3.3 ; ATF 138 III 374 consid. 4.3.1 ; TF 5A_356/2020 du 9 juillet 2020 consid. 3.2 ; TF 5A_503/2018 du 25 septembre 2018 consid. 6.3). 3.4 L'appelante fait ensuite valoir que le conflit entre les parties serait de nature à exclure la mise en place d'une garde alternée. Cela étant, pour l'établir, elle n'invoque que ses propres déclarations, faites lors de l'audience du 12 octobre 2022. Or, la valeur probante de celles-ci ne peut être que relativisée dans la mesure où il ressort du dossier que l'appelante ne désire manifestement aucunement qu'une garde alternée puisse être mise en place. Pour le reste, la motivation du grief n'est constituée que de critiques très générales à l'encontre du raisonnement des premiers juges, sans se référer à des allégations ou des moyens de preuve précis permettant d'établir la profondeur du conflit dont l'appelante se prévaut. Cela étant, les premiers juges ont examiné attentivement la nature du désaccord entre les parties pour arriver à la conclusion que son étendue et son intensité ne permettaient pas d'exclure la mise en place d'une garde alternée. Ils ont estimé que les mésententes se cristallisaient essentiellement sur les modalités de séparation et que la communication, certes fragile, n'était pas rompue, si bien que les parties pouvaient collaborer sur les questions en relation avec leurs enfants. A défaut de contre-indication posée par les professionnels et au vu du foyer constitué par les enfants également chez leur père, aucun élément ne permettait ainsi de refuser une garde alternée. Cette appréciation ne peut être que confirmée. Il ressort en effet des éléments du dossier qu'une</w:t>
      </w:r>
    </w:p>
    <w:p>
      <w:r>
        <w:t>- 20 - communication a lieu entre les parties en lien avec les enfants, comme le démontrent encore en appel les extraits WhatsApp datant de janvier à septembre 2023 produits par l'intimé dans lesquels les parents règlent sans difficultés les questions liées à la prise en charge des enfants. Au demeurant, comme indiqué plus haut, l'appelante ne développe pas d'éléments concrets permettant de contester cette appréciation. Ainsi, le grief doit être écarté. 3.5 L'appelante fait ensuite valoir que l'intimé n'aurait pas la volonté de favoriser les contacts entre elle et les enfants. En particulier, elle relève que le conflit sur ce point se cristalliserait sur la question des vacances, ayant occasionné le dépôt de 15 requêtes de mesures superprovisionnelles depuis la séparation. En outre, elle se verrait privée de contacts téléphoniques avec les enfants de manière régulière. Il convient tout d'abord de préciser que le fait que les parties rencontrent des difficultés le cas échéant pour fixer les vacances est clairement insuffisant pour indiquer qu'une garde alternée ne pourrait pas être mise en place. Il s'agit en effet d'un différend habituel dans le cadre d'une séparation conflictuelle. Or, comme la jurisprudence le rappelle, il ne suffit pas que des désaccords existent entre les parents pour qu'une garde alternée soit exclue. Au demeurant, il n'apparaît pas que cette question aurait fait l'objet d’une procédure judiciaire après décembre 2022, même si l'appelante allègue, dans le cadre d'un autre grief, que l'intimé n'aurait pas pris les enfants durant une partie des vacances. Les contacts téléphoniques étant réglementés par le jugement attaqué, l'argument de l'appelante à ce sujet est dorénavant sans portée. Enfin, l'appelante suggère que l'intimé la dénigrerait subtilement auprès des enfants. Cette allégation n'est soutenue que par une déclaration de l'appelante elle-même lors de l'audience du 12 octobre 2022, ce qui est manifestement insuffisant à établir que l'attitude de l'intimé serait nuisible au point de devoir renoncer à la mise en place d'une garde alternée.</w:t>
      </w:r>
    </w:p>
    <w:p>
      <w:r>
        <w:t>- 21 - 3.6 Ensuite, l'appelante soutient que le principe de stabilité s'opposerait à la garde alternée retenue par les premiers juges. Les enfants auraient l'habitude de passer plus de temps avec leur mère et la garde alternée romprait la continuité de la prise en charge des enfants telle qu'exercée depuis cinq ans. Elle fait également valoir que X.________ est dyspraxique et qu'il aurait besoin non seulement d'un suivi régulier mais également de stabilité en raison de son trouble, respectivement que l'intimé n'aurait pas pris les enfants durant les vacances d'été 2023, à l'Ascension ou à Pentecôte. L'argumentation de l'appelante implique qu'en principe une garde alternée ne pourrait pas être mise en place si elle venait à modifier les modalités de prise en charge déjà existantes depuis plusieurs années. En ce sens, elle se méprend sur la portée du principe de stabilité qu'elle invoque. Celui-ci ne vise pas à interdire toute évolution des modalités de garde mais bien à ce que celles-ci correspondent à l'intérêt des enfants et à ce qu'elles conservent une régularité qui n'implique pas des modifications continuelles. Or, en l'espèce, il n'est aucunement démontré que le régime prévu serait dans son principe contraire aux intérêts des enfants. Les parents disposent de compétences éducatives suffisantes et il ne ressort pas du jugement attaqué, ni du dossier, que le temps que les enfants passent avec leur père ne leur serait pas profitable. S'agissant du suivi nécessaire de X.________, celui-ci ne ressort clairement ni des pièces présentes au dossier (cf. pièces 39 à 41 et IX des bordereaux de l'appelante) ni de l'écriture d'appel. Certes, les difficultés rencontrées par l'enfant sont en partie décrites, parfois dans des documents datant de plusieurs années, sans toutefois évoquer le suivi concret actuellement indispensable. Au demeurant, l'appelante n'expose pas, contrairement à son devoir de motivation, quels seraient les éléments de ce suivi qui ne pourraient pas être maintenus dans le cadre d'une garde alternée. En particulier, elle n'allègue ni ne démontre qu'à l'heure actuelle le père n'aurait pas été en mesure d'assurer un tel suivi, respectivement de</w:t>
      </w:r>
    </w:p>
    <w:p>
      <w:r>
        <w:t>- 22 - répondre aux impératifs nécessaires, par exemple en présentant X.________ aux consultations des thérapeutes. Enfin, on peine à discerner la portée du grief relatif aux vacances 2023, étant précisé que l’appelante n'apporte aucun élément de preuve pour l'étayer. Ce pan du grief est donc insuffisamment motivé. En définitive, le grief doit être écarté, dans la mesure de sa recevabilité. 3.7 Dans un grief complémentaire, l'appelante critique les modalités de mise en place de la garde alternée prévue par le jugement attaqué. Selon l’appelante, celles figurant au chiffre IV du dispositif dudit jugement ne tiendraient pas compte du droit de visite actuel, ni du fait qu'elle donne des cours les mercredis et jeudis soir. En outre, les modalités prévues impliquent que les enfants soient privés de leur mère durant près de cinq nuits lorsque le père a ses fils avec lui le week-end. Elle propose en conséquence la prise en charge suivante d'après ses conclusions : les enfants seront auprès de leur mère chaque semaine du lundi matin à la rentrée de l'école au mercredi à 18 heures, chez leur père du mercredi soir à 18 heures au vendredi soir à la sortie de l'école et alternativement chez chacun des parents un week-end sur deux, du vendredi soir à la sortie de l'école au lundi matin au retour à l'école. On peine à discerner la portée de l'argument qu'entend tirer l'appelante du fait que les enfants passeraient, selon le mode de garde prévu par les premiers juges, cinq nuits consécutives chez leur père. En effet, dans le modèle qu'elle propose, c'est également le cas, les enfants passant cinq nuits chez l'intimé lors de la première semaine (la garde étant réglée sur deux semaines). Ce grief est donc sans pertinence. L'appelante invoque le fait que les modalités prévues ne tiennent pas compte du droit de visite tel qu'exercé actuellement et singulièrement du fait que les enfants vont chez leur père le mercredi soir. On relèvera d'emblée que le fait que les enfants doivent s'habituer à voir</w:t>
      </w:r>
    </w:p>
    <w:p>
      <w:r>
        <w:t>- 23 - leur père en début de semaine plutôt que le mercredi ne paraît pas de nature à les perturber ni à poser de réelles difficultés. La répartition finalement retenue par le jugement attaqué correspond aux conclusions prises par l'intimé en première instance. Les premiers juges ont opté pour ces modalités car l'appelante était davantage disponible en deuxième partie de semaine (cf. jugement p. 27). Dans sa réplique du 13 juillet 2021, l'appelante évoquait en effet jouir d'horaires flexibles et avoir congé le mercredi et le vendredi après-midi. L'appelante ne revient pas sur ces éléments, sous réserve du fait qu'elle dispenserait des cours les mercredis et jeudis en soirée. Ce point ne paraît pas avoir fait l'objet ni d'allégation ni de déclaration de l'appelante en première instance. Pour confirmer son indisponibilité les soirs du mercredi et du jeudi, l'appelante produit une attestation du 22 décembre 2023 émanant de [...]. Ce document ne fait cependant que mentionner une participation « active » de l'appelante en tant que médecin formateur et dire que celle-ci est amenée à superviser les assistants lors des consultations et à dispenser des cours le soir dès 18h, les mercredis et jeudis. Cependant, la fréquence des cours donnés, la durée de ceux-ci ou encore les périodes de l'année concernées ne sont pas précisées. On ne sait pas davantage si l'appelante donnera encore ces formations à l'avenir ni quand elle a commencé à les dispenser. La pièce ne suffit dès lors pas à remettre en cause l'appréciation faite par les premiers juges et paraît avoir été élaborée au vu du résultat du jugement de première instance et, en partie, en contradiction avec les allégations de l'appelante. En tous les cas, si l'on devait admettre que les cours sont bien dispensés, il apparaît que cette situation existe alors même qu'actuellement l'appelante a les enfants auprès d'elle le jeudi soir. Or, elle n'expose aucunement de quelle manière leur prise en charge serait rendue plus difficile par les cours et pour quelle raison elle a accepté de les donner alors même que ses fils sont alors auprès d'elle. Au demeurant, la proposition de l'appelante impliquerait que les enfants soient auprès du père le mercredi alors même qu'elle a allégué être disponible pour eux ce jour-là. En définitive, on ne perçoit pas que le motif invoqué soit suffisant pour revoir les modalités de prise en charge prévues dans le jugement attaqué. Le grief doit donc être rejeté.</w:t>
      </w:r>
    </w:p>
    <w:p>
      <w:r>
        <w:t>- 24 - 4. L'appelante développe ensuite un grief tendant à ce que des contributions d'entretien en faveur des enfants soient mises à la charge de l'intimé. Elle fonde son argumentation sur le fait qu'une garde exclusive lui soit confiée. Or, dans la mesure où, comme on l'a vu plus haut, la garde alternée mise en place par les premiers juges doit être confirmée, les développements de l'appelante se révèlent sans pertinence. On relèvera également que dans ses conclusions subsidiaires, l'appelante requiert que l'intimé soit astreint à verser une contribution d'entretien aux enfants. Ces conclusions ne sont toutefois aucunement étayées par une motivation dans l'écriture d'appel, si bien que le grief y relatif doit être déclaré irrecevable. 5. L'appelante conclut également à ce que les bonifications pour tâches éducatives lui soient attribuées en intégralité. A nouveau, sa conclusion et son grief se fondent sur l'attribution d'une garde exclusive, si bien qu'ils doivent être rejetés. 6. 6.1 L'appelante critique ensuite le jugement attaqué quant aux prétentions financières qu'elle avait formulées à l'encontre de l'intimé. 6.2 En premier lieu, elle considère que les premiers juges auraient dû lui allouer la somme de 7'500 fr. en remboursement d'un prêt octroyé à l'intimé en lien avec le développement de [...]. Sur ce point, le jugement attaqué retient que l'appelante n'a produit qu'un relevé bancaire (pièce 37 de l'appelante) qui ne permet pas d'établir un lien entre le versement et la création de la société. En outre, la preuve que le versement constituerait un prêt ne serait pas apportée.</w:t>
      </w:r>
    </w:p>
    <w:p>
      <w:r>
        <w:t>- 25 - Le relevé bancaire précité ne fait état que du versement de 7'500 fr. à l'intimé, valeur au 22 mai 2018. Le motif ne figure pas sur le document. L'appelante considère que le lien entre ledit versement et la constitution de la société de l'intimé [...] ressort des éléments temporels, soit de la proximité entre les deux événements. Il est difficile de saisir ce raisonnement. En effet, la société précitée a été inscrite au registre du commerce en janvier 2018, soit plusieurs mois avant que le transfert d'argent ait lieu. On ne perçoit dès lors pas pour quelle raison l'on devrait déduire de la temporalité un lien entre les deux événements. En outre, l'appelante n'expose aucunement dans son appel qu'un motif particulier justifiait alors qu'elle finance l'intimé. Elle n'apporte d'ailleurs pas plus d'élément quant à la cause concrète du versement, si bien qu'il convient de confirmer l'appréciation des premiers juges quant au fait qu'elle a échoué à démontrer le lien dont elle se prévaut. Pour le surplus, l'appelante se fonde sur l'art. 200 al. 3 CO, soit l'absence de présomption de donation entre époux, pour fonder son droit. Cela étant, elle omet qu’il lui revient en préambule de prouver la cause justifiant les fonds versés et en particulier qu'ils ne visaient pas à l'entretien de la famille, devoir qui appartient à chacun des époux (art. 163 al. 1 CC), ce qu'elle ne fait pas. En conséquence, c'est à juste titre que les premiers juges ont rejeté sa prétention. 6.3 Enfin, l'appelante prétend au versement d'une somme de 3'685 fr. qu'elle soutient avoir versée à titre de prime d'assurance maladie indue entre les mois de juillet et décembre 2018. Les premiers juges ont considéré que les pièces produites par l'appelante, soit un extrait ebanking et un courrier rédigé par son conseil ne permettaient pas d'établir que l'intimé était bien débiteur de ce montant, ce qu'il contestait. Le grief formulé dans l'appel ne s'en prend en réalité pas au raisonnement des premiers juges, qui ont bien statué sur la prétention, contrairement à ce que paraît soutenir l'appelante. Cette dernière considère</w:t>
      </w:r>
    </w:p>
    <w:p>
      <w:r>
        <w:t>- 26 - que le tribunal aurait fait preuve d'arbitraire en retenant la version de l'intimé, sans autre explication. Elle omet cependant que le jugement est motivé sur ce point et elle n'expose en aucune façon en quoi le raisonnement tenu serait erroné. Le grief insuffisamment motivé est irrecevable. Il n’en va pas différemment de ce qui paraît être une réquisition d’instruction sur ce point dans le cadre de l’appel, qui n’est ni détaillée ni expliquée. 7. 7.1 En définitive, l’appel doit être rejeté dans la mesure de sa recevabilité. 7.2 Les frais judiciaires de deuxième instance, arrêtés à 600 fr. (art. 63 al. 1 TFJC [tarif des frais judiciaires civils du 28 septembre 2010 ; BLV 270.11.5]), sont mis à la charge de l’appelante, qui succombe (art. 106 al. 1 et 3 in fine CPC). 7.3 L’appelante doit en outre verser à l’intimé un montant de 1'500 fr. à titre de dépens de deuxième instance (art. 9 al. 2 TDC [tarif des dépens en matière civil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