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TD20.026407 vom 4. Februar 2022</w:t>
      </w:r>
    </w:p>
    <w:p>
      <w:r>
        <w:t>VD Tribunal cantonal, 2022-02-04, FR</w:t>
      </w:r>
    </w:p>
    <w:p>
      <w:r>
        <w:rPr>
          <w:b/>
        </w:rPr>
        <w:t xml:space="preserve">Quelle: </w:t>
      </w:r>
      <w:r>
        <w:t>https://mcp.opencaselaw.ch/entscheid/vd_gerichte_TD20.026407</w:t>
      </w:r>
    </w:p>
    <w:p>
      <w:r>
        <w:t>FR: VD_GERICHTE TD20.026407 du 4 février 2022</w:t>
      </w:r>
    </w:p>
    <w:p>
      <w:r>
        <w:t>IT: VD_GERICHTE TD20.026407 del 4 febbraio 2022</w:t>
      </w:r>
    </w:p>
    <w:p>
      <w:pPr>
        <w:pStyle w:val="Heading2"/>
      </w:pPr>
      <w:r>
        <w:t>Erwägungen</w:t>
      </w:r>
    </w:p>
    <w:p>
      <w:r>
        <w:rPr>
          <w:b/>
        </w:rPr>
        <w:t>E. 8</w:t>
      </w:r>
    </w:p>
    <w:p>
      <w:r>
        <w:t>mai 2012 consid. 4.2). Dans ce cadre, le juge ordonne les mesures nécessaires sans être lié par les conclusions des parties et même en l'absence de conclusions (ATF 128 III 411 consid. 3.1 et les références citées). 3. 3.1 L’appelante fait grief à l’autorité précédente de ne pas avoir imputé de revenu hypothétique à l’intimé. Elle fait valoir que dans un arrêt du 6 juillet 2020, la Cour de céans aurait déterminé un revenu et des charges hypothétiques pour un débirentier dont la situation personnelle et matérielle était inconnue, en fonction des informations données par le crédirentier. Elle en déduit que les premiers juges ne pouvaient pas se contenter de constater l’absence de renseignements précis sur la situation de l’intimé, alors même qu’ils auraient eu à disposition des informations relatives à son âge, à sa formation et à sa réputation professionnelle et que ces éléments, ressortant du prononcé de mesures protectrices de l’union conjugale du 4 juillet 2011, auraient été suffisants pour déterminer, même abstraitement, la capacité contributive de l’intéressé. L’autorité précédente aurait ainsi méconnu les règles relatives au fardeau de la preuve, au défaut d’une partie et à la maxime inquisitoire illimitée. L’appelante soutient également que dans un arrêt du 5 mai 2014, la Cour de céans aurait considéré qu’il n’y avait pas lieu, dans le cadre d’une procédure de divorce, de réduire le montant d’une pension en faveur d’un</w:t>
      </w:r>
    </w:p>
    <w:p>
      <w:r>
        <w:t>- 12 - enfant arrêtée en mesures protectrices de l’union conjugale au motif que le débirentier, en raison de son défaut lors de la procédure de divorce, n’avait pas fait valoir d’éléments nouveaux qui auraient justifié une réduction. Or, dans le cas présent, l’intimé n’aurait fait valoir aucun fait nouveau, en particulier quant à son état de santé ou ses compétences professionnelles, justifiant la réduction de la pension de 1'820 fr. due aux enfants selon le prononcé du 4 juillet 2011, réduite ensuite par la voie conventionnelle à 1'500 fr., sur la base d’un revenu hypothétique de 5'500 francs. Les premiers juges auraient ainsi dû retenir que l’intimé bénéficiait d’un disponible mensuel de 1'820 francs. L’appelante prétend enfin que si l’autorité précédente considérait qu’il ne fallait pas se fonder sur la décision du 4 juillet 2011, elle aurait alors dû imputer à l’intimé un revenu hypothétique de l’ordre de 7'500 fr. sur la base de statistiques ou de conventions collectives de travail. Les premiers juges ont retenu que l’intimé n’avait pas donné signe de vie depuis dix ans et que l’on ignorait s’il vivait encore, respectivement quel était son état de santé, s’il vivait seul ou non et quelle était sa capacité contributive. Ils ont considéré que lui imputer un revenu et des charges hypothétiques sans avoir aucun élément pour ce faire relèverait de l’arbitraire et que l’examen des conditions pour l’imputation d’un revenu hypothétique était en l’état impossible, de sorte que l’on ne pouvait pas procéder « à l’aveugle ». En outre, fixer des contributions d’entretien qui ne seraient jamais acquittées, comme tel avait été le cas lors de la dernière décennie, continuerait à faire porter le poids de la carence du débirentier sur la collectivité, ce qui n’était pas admissible plus longtemps. Il y avait ainsi lieu de rejeter les conclusions de l’appelante tendant à ce que l’intimée contribue financièrement à l’entretien des enfants. 3.2 3.2.1 3.2.1.1 Selon la jurisprudence, le juge fixe les contributions d'entretien du droit de la famille en se fondant, en principe, sur le revenu effectif des parties ; il peut toutefois s'en écarter et retenir un revenu hypothétique</w:t>
      </w:r>
    </w:p>
    <w:p>
      <w:r>
        <w:t>- 13 -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que l’on peut raisonnablement exiger d'elle afin de remplir ses obligations (ATF 143 III 233 consid. 3.2 ; ATF 137 III 102 consid. 4.2.2.2 ; ATF 128 III 4 consid. 4a). Lorsqu’un débiteur d'entretien a volontairement accepté une réduction de son revenu dans le dessein de nuire à sa famille, il n'est pas nécessaire d'examiner si cette baisse de revenu est irréversible et un revenu correspondant à celui qu'il gagnait auparavant peut lui être imputé, même s'il ne s'avère plus concrètement possible de le réaliser en mettant pleinement à profit sa capacité de gain (ATF 143 III 233 consid. 3.4, JdT 2017 II 455 ; TF 5A_403/2019 du 12 mars 2020 consid. 4.1, publié in FamPra.ch 2020 p. 813 ; TF 5A_1008/2018 du 28 juin 2019 consid. 5.2.2). Lorsque le juge entend tenir compte d'un revenu hypothétique du travail, il doit examiner successivement deux conditions. Tout d'abord, il doit examiner s'il peut être raisonnablement exigé de la personne concernée qu'elle exerce une activité lucrative ou augmente celle-ci, eu égard, notamment, à sa formation et à son état de santé ; il s'agit d'une question de droit. Lorsqu'il tranche celle-ci,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de son âge et du marché du travail ; il s'agit là d'une question de fait (ATF 137 III 118 consid. 2.3 ; TF 5A_235/2016 du 15 août 2016 consid. 4.1 ; TF 5A_154/2016 du 19 mai 2016 consid. 5.1 et les références citées). Pour arrêter le montant du salaire, le juge peut éventuellement se baser sur l'enquête suisse sur la structure des salaires, réalisée par</w:t>
      </w:r>
    </w:p>
    <w:p>
      <w:r>
        <w:t>- 14 - l'Office fédéral de la statistique (www.lohnrechner.bfs.admin.ch/Pages/SalariumWizard.aspx?lang=fr), ou sur d'autres sources, comme des conventions collectives de travail (ATF 137 III 118 consid. 3.2, JdT 2011 II 486 ; TF 5A_782/2016 du 31 mai 2017 consid. 5.3), pour autant qu'ils soient pertinents par rapport aux circonstances d'espèce (TF 5A_690/2019 du 23 juin 2020 consid. 4.3.1 ; TF 5A_461/2019 du 6 mars 2020 consid. 3, publié in FamPra.ch 2020 p. 488 ; TF 5A_112/2013 du 25 mars 2013 consid. 4.1.3). L'utilisation de statistiques pour arrêter le salaire hypothétique n'est nullement impérative, en particulier lorsqu'un revenu concrètement existant peut fournir un point de départ (TF 5A_311/2019 du 11 novembre 2020 consid. 3.2 et les références citées, destiné à la publication). 3.2.1.2 Dans un arrêt du 6 juillet 2020 (CACI 6 juillet 2020/287), la Cour de céans a statué sur un appel dirigé contre un jugement de divorce rendu par défaut du débirentier le 17 décembre 2019, dans lequel les premiers juges avaient imputé au débirentier un revenu hypothétique inférieur au dernier salaire qu’il avait réalisé, sur la base des statistiques fédérales suisses, et avaient retenu des charges hypothétiques pour déterminer sa capacité à contribuer financièrement à l’entretien de ses enfants. L’autorité d’appel a considéré qu’il n’était pas critiquable de calculer le revenu hypothétique sur la base des statistiques, mais a constaté que les premiers juges n’avaient pas pris en compte le fait que le débirentier avait été engagé en qualité de chef d’équipe dans son dernier emploi en Suisse et qu’ils n’avaient pas exposé les motifs pour lesquels ils n’avaient pas retenu un revenu équivalent au dernier salaire réalisé, alors que ce revenu avait été pris en compte dans la décision de mesures protectrices de l’union conjugale en vigueur du 9 octobre 2015. La Cour de céans a dès lors imputé au débirentier un revenu hypothétique équivalent à son dernier salaire, après avoir constaté qu’une convention nationale de travail prévoyait un salaire peu ou prou équivalent pour le poste précédemment occupé par l’intéressé. Elle a également confirmé qu’au vu de l’imputation d’un revenu hypothétique, il se justifiait de retenir des charges hypothétiques, à savoir le montant de base du minimum vital, une prime LAMal, un loyer et des frais d’acquisition du revenu.</w:t>
      </w:r>
    </w:p>
    <w:p>
      <w:r>
        <w:t>- 15 - Dans un arrêt du 5 mai 2014 (CACI 5 mai 2014/227), la Cour de céans a statué sur un appel dirigé contre un jugement de divorce rendu par défaut du débirentier le 13 janvier 2014, dans lequel les premiers juges avaient considéré, s’agissant de la fixation de la contribution due pour l’entretien d’un enfant, que contrairement à ce qui avait été le cas auparavant dans la procédure de mesures protectrices de l’union conjugale, il ne se justifiait plus d’imputer à l’époux un revenu hypothétique, dans la mesure où celui-ci était retourné vivre au Portugal en 2008, pays dans lequel il avait semble-t-il passé la majeure partie de sa vie, de sorte qu’il n’était pas raisonnable de lui imposer de revenir travailler en Suisse. L’autorité cantonale a constaté que le débirentier n’avait procédé ni en première ni en deuxième instance et qu’en l’état, rien ne permettait d’expliquer son départ de Suisse ni de tenir pour impraticable un retour dans ce pays pour y déployer une activité professionnelle. Elle a considéré que le prononcé de mesures protectrices de l’union conjugale du 16 mars 2009, qui n’avait fait l’objet d’aucune contestation, retenait que le débirentier, qui travaillait au Portugal en qualité de réparateur-installateur en gaz, pourrait réaliser en Suisse un revenu hypothétique de 4'000 fr. net par mois, en précisant qu’au moment de la naissance de l’enfant, l’intéressé travaillait. Dès lors que le débirentier n’avait fait valoir aucun élément nouveau qui justifierait de revoir cette appréciation, la Cour de céans a considéré qu’il n’y avait pas lieu de s’écarter du revenu hypothétique de 4'000 fr. par mois retenu par le juge des mesures protectrices de l’union conjugale. 3.2.2 En cas de défaut d’une partie à l’audience des débats principaux, le tribunal statue sur la base des actes qui ont, le cas échéant, été accomplis conformément aux dispositions du CPC ; il se base pour le surplus, sous réserve de l’art. 153 CPC, sur les actes de la partie comparante et sur le dossier (art. 234 al. 1 CPC). Selon l’art. 153 al. 1 CPC, le tribunal administre les preuves d’office lorsque les faits doivent être établis d’office. Lorsque la maxime inquisitoire illimitée de l’art. 296 al. 1 CPC s’applique, le juge n’est lié ni</w:t>
      </w:r>
    </w:p>
    <w:p>
      <w:r>
        <w:t>- 16 - par les faits allégués ni par les faits admis par les parties (ATF 128 III 411 consid. 3.2.1 ; TF 5A_31/2014 du 11 juillet 2014 consid. 3.3) ; il établit d’office les faits dans l’intérêt public, pour garantir dans la mesure du possible un jugement correspondant aux circonstances effectives (TF 4A_229/2017 du 7 décembre 2017 consid. 3.3.1, publié in RSPC 2018 p. 86 avec note de Markus). 3.3 En l’espèce, il faut effectivement constater que l’on ignore la situation personnelle et financière actuelle de l’intimé, qui a quitté la commune de [...] le 3 février 2014 pour une destination inconnue. On ignore également si l’intéressé réside toujours en Suisse ou s’il a quitté le pays. Il faut toutefois partir du principe que bien qu’il n’ait plus donné signe de vie depuis plusieurs années, l’intimé est toujours vivant, faute de quoi l’action en divorce et en paiement d’aliments intentée par l’appelante serait sans objet. Cela étant, on ne saurait suivre les premiers juges lorsqu’ils ont considéré qu’ils ne disposaient d’aucun élément pour déterminer la capacité contributive de l’intimé. En effet, il faut tenir compte du fait que l’intimé a fait défaut tout au long de la procédure de première instance – et en deuxième instance également – et qu’aucun élément du dossier ne permet de considérer qu’il ne pourrait pas exercer une activité professionnelle lui permettant d’avoir une capacité contributive équivalente à celle qui était la sienne en mesures protectrices de l’union conjugale. En particulier, on constate qu’à l’époque du prononcé du 4 juillet 2011, non contesté, l’intimé, alors jeune, en bonne santé et bénéficiant de bonnes qualifications professionnelles, était en mesure de réaliser un revenu hypothétique de 5'500 fr. net en travaillant comme chauffagiste salarié et que son budget présentait un disponible de 1'820 fr. après couverture de ses charges de 3'683 fr. 45. L’entier de ce disponible a été affecté à l’entretien des enfants et la pension a été fixée à 1'820 fr. par mois. Cette pension a ensuite été réduite à 1'500 fr. par convention ratifiée le 27 novembre 2012. Or, l’intimé, défaillant, ne fait valoir aucun élément qui justifierait de considérer qu’il ne serait plus en mesure de travailler comme auparavant. Le simple écoulement du temps</w:t>
      </w:r>
    </w:p>
    <w:p>
      <w:r>
        <w:t>- 17 - depuis le 27 novembre 2012 est à cet égard insuffisant, étant rappelé que l’intéressé est actuellement âgé de trente-six ans. Dans ces conditions et conformément à ce qui a déjà été jugé par la Cour de céans (cf. CACI 5 mai 2014/227 cité supra consid. 3.2.1.2), il ne se justifie pas de s’écarter de la capacité contributive de l’intimé telle que définie par le juge des mesures protectrices de l’union conjugale. Cela étant et contrairement à ce que plaide l’appelante, il n’y a pas lieu de se fonder sur la capacité contributive de 1'820 fr. définie dans le prononcé du 4 juillet 2011, mais sur la capacité contributive ressortant de la dernière décision de mesures protectrices de l’union conjugale en vigueur, soit celle du 27 novembre 2012. Cette décision ne figure pas au dossier, mais ressort de l’état de fait – non contesté – du jugement et est mentionnée dans la plainte déposée par le BRAPA le 3 novembre 2020 (P. 7 du bordereau du 17 décembre 2020). On ignore ainsi quelle était la situation professionnelle et financière précise de l’intimé à l’époque de cette décision. On peut toutefois inférer du fait que la pension a été conventionnellement réduite à 1'500 fr. par mois, ainsi que du fait que la précédente pension de 1'820 fr. correspondait à l’entier du disponible présenté par l’intimé, que le disponible mensuel dont bénéficiait l’intimé le 27 novembre 2012 compte tenu de ses revenus et charges d’alors, et donc sa capacité à contribuer à l’entretien des enfants, s’élevait à 1'500 francs. Compte tenu de ces éléments, l’autorité précédente aurait dû retenir, sur la base de la dernière réglementation des mesures protectrices de l’union conjugale en vigueur, que l’intimé disposait d’une capacité contributive de 1'500 fr. par mois pour assurer en tout ou en partie l’entretien en argent des enfants. 4. 4.1 Il convient à ce stade de calculer les contributions d’entretien dues par l’intimé pour l’entretien des enfants N.________ et I.________.</w:t>
      </w:r>
    </w:p>
    <w:p>
      <w:r>
        <w:t>- 18 - 4.2 4.2.1 Aux termes de l’art. 285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 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 7 et références citées). En d'autres termes, la contribution de prise en charge correspond aux frais (indirects) que supporte un parent en raison du temps qu'il dédie à l'enfant en lieu et place d'exercer une activité</w:t>
      </w:r>
    </w:p>
    <w:p>
      <w:r>
        <w:t>- 19 - lucrative qui lui permettrait de subvenir à ses besoins (ATF 144 III 481 consid. 4.3, JdT 2019 II 179). Si, et uniquement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 4.2.2 4.2.2.1 Dans un arrêt récent (ATF 147 III 265), le Tribunal fédéral a considéré que pour arrêter les coûts directs de l’enfant (« Barunterhalt »), il y avait lieu de se fonder, comme pour la contribution de prise en charge, sur la méthode en deux étapes avec répartition de l’excédent (« zweistufige Methode mit Überschussverteilung »), qui se base sur les frais de subsistance (« Lebenshaltungskosten ») (consid. 6.1). Cette méthode a vocation à s’appliquer à l’échelle de la Suisse en ce qui concerne l’entretien de l’enfant,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(consid. 6.6 in fine). 4.2.2.2 Les Lignes directrices pour le calcul du minimum vital du droit des poursuites selon l’art. 93 LP édictées par la Conférence des préposés aux poursuites et faillites de Suisse (ci-après : le minimum vital LP)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et à déduire des coûts de logement du parent gardien (TF 5A_464/2012 du 30 novembre 2012 consid. 4.6.3 ; CACI 29 juin 2017/269 consid. 3.3.3) – et les coûts de garde</w:t>
      </w:r>
    </w:p>
    <w:p>
      <w:r>
        <w:t>- 20 -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références citées). 4.2.2.3 L’entretien convenable n’étant pas une valeur fixe, mais une valeur dynamique dépendant des moyens à disposition, l’entretien convenable doit être élargi à ce que l’on nomme le minimum vital du droit de la famille dès que les moyens financiers le permettent (ATF 147 III 265 consid. 5.4 et 7.2). Toutefois, s’il ne reste qu’un très faible montant après avoir calculé la situation familiale selon le minimum vital LP, il peut être renoncé à un nouveau calcul selon le minimum vital du droit de la famille, le modeste solde pouvant être, par exemple, ajouté à la pension de base pour l’enfant mineur ou laissé au débirentier (Stoudmann, Le divorce en pratique, Entretien du conjoint et des enfants, Partage de la prévoyance professionnelle, Lausanne 2021, p. 149 et la référence citée à la note infrapaginale 539). 4.3 4.3.1 En l’espèce, conformément aux allégués de l’appelante corroborés par les pièces du dossier, les coûts directs de l’enfant N.________, déterminés en l’état selon le minimum vital LP, sont les suivants :</w:t>
      </w:r>
    </w:p>
    <w:p>
      <w:r>
        <w:t>- 21 - Base mensuelle minimum vital 600 fr. 00 Part au loyer (15% de 1'850 fr.) 277 fr. 50 Assurance-maladie de base 117 fr. 35 Frais médicaux non remboursés 3 fr. 00 Frais de transport 21 fr. 15 ./. allocations familiales 300 fr. 00 Total 719 fr. 00 Ceux de l’enfant I.________ se décomposent comme il suit : Base mensuelle minimum vital 600 fr. 00 Part au loyer (15% de 1'850 fr.) 277 fr. 50 Assurance-maladie de base 117 fr. 35 Frais médicaux non remboursés 26 fr. 75 Frais de garde 143 fr. 75 ./. allocations familiales 300 fr. 00 Total 865 fr. 35 Arrondi à 865 fr. 00 Lorsque l’enfant I.________ aura atteint l’âge de douze révolus, le 18 janvier 2023, il y a lieu de considérer que, à l’instar de sa sœur, il n’aura plus de frais de garde, mais que ceux-ci seront remplacés par des frais de transport équivalents à ceux de l’enfant N.________. Ses coûts directs s’élèveront ainsi à 742 fr. 75 (865 fr. 35 - 143 fr. 75 de frais de garde + 21 fr. 15 de frais de transport). Lorsque les enfants auront atteint l’âge de seize ans révolus, ils pourront le cas échéant chacun bénéficier d’une allocation de formation, dont le montant s’élèvera à 400 fr. par mois. Dès lors qu’il est dans le cours ordinaire des choses que les coûts d’un enfant augmentent au fur et à mesure qu’il grandit, il se justifie de considérer que l’augmentation de ces coûts sera compensée par l’augmentation des allocations familiales auxquelles ils auront droit, de sorte que leurs coûts directs seront équivalents à ceux définis ci-dessus.</w:t>
      </w:r>
    </w:p>
    <w:p>
      <w:r>
        <w:t>- 22 - 4.3.2 Le revenu mensuel net de l’appelante s’élève à 4'144 fr. 65. Quant aux charges constituant son minimum vital LP, elles s’élèvent au total à 3'272 fr. 40 et sont composées du montant de base du minimum vital par 1'350 fr., de son loyer, sous déduction des parts des enfants, par 1'295 fr. (1'850 fr. - 30%), de sa prime d’assurance-maladie obligatoire par 445 fr. 75, de ses frais médicaux non remboursés par 120 fr. et de ses frais de transport nécessaires à l’acquisition du revenu par 61 fr. 65. Il s’ensuit que le budget de l’appelante présente un disponible de 872 fr. 25 (4'144 fr. 65 - 3'272 fr. 40). Il n’y a ainsi pas lieu de comptabiliser une contribution de prise en charge pour déterminer l’entretien des enfants. 4.3.3 Dès lors que l’appelante assure déjà seule l’entretien en nature des enfants et qu’elle a du reste un disponible inférieur à celui de l’intimé, seul l’intimé devra contribuer à l’entretien en argent des enfants. Il en ira de même lorsque l’enfant I.________ aura atteint l’âge de seize ans révolus et qu’il pourra être exigé de l’appelante qu’elle travaille à plein temps, quand bien même son disponible s’en trouvera augmenté. Pour la période antérieure aux douze ans révolus de l’enfant I.________, soit, par mesure de simplification, jusqu’au 31 décembre 2022, dernier jour du mois précédent celui où il aura atteint l’âge en question (cf. Stoudmann, op. cit., p. 351), le disponible de l’intimé de 1'500 fr. ne lui permet pas de couvrir l’entier des coûts directs des enfants, qui s’élèvent au total à 1'584 fr. (719 fr. + 865 fr.). Pour assurer l’égalité de traitement entre les deux enfants, chacun d’eux doit bénéficier d’une proportion égale du disponible de l’intimée pour couvrir une partie de leurs coûts directs respectifs. Dans la mesure où le disponible précité suffit à couvrir 94.69% des coûts directs ([1'500 fr. x 100] : 1'584 fr.), les pensions mensuelles dues par l’intimé pour l’entretien des enfants jusqu’au 31 décembre 2022 seront fixées, en chiffres ronds et allocations familiales en sus, à 680 fr. (94.69% de 719 fr.) pour N.________ et à 820 fr. pour I.________ (94.69% de 865 fr.). Dès lors que ces pensions ne suffisent pas à couvrir les coûts directs des enfants,</w:t>
      </w:r>
    </w:p>
    <w:p>
      <w:r>
        <w:t>- 23 - qui correspondent aux montants assurant leur entretien convenable, ces montants seront mentionnés dans le dispositif du présent arrêt. A compter du 1er janvier 2023, le disponible de l’intimé lui permet de couvrir l’entier des coûts directs des enfants et il disposera encore d’un disponible résiduel de 38 fr. 25 (1'500 fr. - 719 fr. - 742 fr. 75). En équité, ce modeste solde sera ajouté à la pension de base des enfants pour aboutir à une pension équivalente pour chacun d’entre eux. Il s’ensuit que dès le 1er janvier 2023, l’intimé devra contribuer à l’entretien des enfants par le versement d’une pension mensuelle, allocations familiales en sus, de 750 fr. pour N.________ et de 750 fr. pour I.________. Ces pensions seront dues jusqu’à leur majorité et, au-delà, jusqu’à l’achèvement de leur formation professionnelle, aux conditions de l’art. 277 al. 2 CC. Conformément à l’art. 128 CC, les contributions d’entretien fixées ci-dessus, qui correspondront à la position de l’indice des prix à la consommation du mois au cours duquel le jugement de divorce aura été déclaré définitif et exécutoire, seront indexées le 1er janvier de chaque année, la première fois le 1er janvier 2023, sur la base de l’indice du mois de novembre précédent, à moins que l’intimé n’établisse que ses revenus n’ont pas augmenté, ou qu’ils n’ont pas augmenté dans la même mesure que l’indice, cas dans lequel les pensions seront indexées proportionnellement. 5. 5.1 En définitive, l’appel doit être partiellement admis et le jugement réformé en ce sens que l’intimé devra contribuer à l’entretien de ses enfants par le versement de pensions mensuelles, allocations familiales en sus, de 680 fr. pour N.________ et de 820 fr. pour I.________ dès jugement de divorce définitif et exécutoire jusqu’au 31 décembre 2022, puis de 750 fr. pour N.________ et de 750 fr. pour I.________ dès le 1er janvier 2023 jusqu’à leur majorité et, au-delà, jusqu’à l’achèvement de leur formation professionnelle, aux conditions de l’art. 277 al. 2 CC, avec</w:t>
      </w:r>
    </w:p>
    <w:p>
      <w:r>
        <w:t>- 24 - la précision que ces pensions seront indexées chaque année. Le jugement sera confirmé pour le surplus. On précisera qu’il n’y a pas lieu de revoir la répartition des frais – soit les frais judiciaires et les dépens (art. 95 al. 1 CPC) – de première instance conformément à l’art. 318 al. 3 CPC, dès lors que ceux- ci ont déjà été entièrement mis à la charge de l’intimé. 5.2 S’agissant de la répartition des frais de deuxième instance, il se justifie de considérer que l’appelante obtient entièrement gain de cause, quand bien même les contributions d’entretien sont finalement fixées en-deçà des montants auxquels elle concluait. Il s’ensuit que les frais judiciaires de deuxième instance, arrêtés à 699 fr. 60 – à savoir 600 fr. d’émolument forfaitaire pour l’arrêt sur appel (art. 63 al. 1 TFJC [Tarif des frais judiciaires civils du 28 septembre 2010 ; BLV 270.11.5]) et 99 fr. 60 de frais de publication à la Feuille des Avis Officiels du 3 décembre 2021 – seront mis à la charge de l’intimé qui succombe (art. 106 al. 1 CPC), en sus des frais liés à la notification par voie édictale à venir du présent arrêt à l’intéressé. L’intimé devra en outre verser à l’appelante de pleins dépens de deuxième instance, arrêtés à 1'500 fr. (art. 7 TDC [Tarif des dépens en matière civile du 23 novembre 2010 ; BLV 270.11.6]). 5.3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respectivement de 110 fr. pour un avocat-stagiaire (art. 2 al. 1 let. a RAJ [Règlement du 7 décembre 2010 sur l’assistance judiciaire en matière civile ; BLV 211.02.3]).</w:t>
      </w:r>
    </w:p>
    <w:p>
      <w:r>
        <w:t>- 25 - Le conseil d’office de l’appelante a indiqué dans sa liste des opérations du 26 janvier 2022 avoir consacré 6 heures et 10 minutes au dossier, dont 4 heures et 15 minutes effectuées par un avocat-stagiaire, et a revendiqué des débours d’un montant de 14 fr. 15. Vu la nature du litige et les difficultés de la cause, ce décompte peut être admis, étant précisé que le montant des débours revendiqué ne s’avère pas supérieur au forfait de 2% prévu par l’art. 3bis al. 1 RAJ. Il s’ensuit qu’au tarif horaire de 180 fr., respectivement de 110 fr. pour les opérations effectuées par l’avocat-stagiaire, l’indemnité d’office de Me Brochellaz sera arrêtée à 812 fr. 50 ([1h55 x 180 fr.] + [4h15 x 110 fr.]), montant auquel s’ajoutent les débours par 14 fr. 15 et la TVA sur le tout par 63 fr. 65, soit à 890 fr. 30 au total. Cette indemnité sera supportée par l’Etat (art. 122 al. 2 CPC). 5.4 L’appelante, bénéficiaire de l’assistance judiciaire, est tenue au remboursement de l’indemnité de son conseil d’office supportée par l’Etat, dès qu’elle sera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