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TD20.025561 vom 23. Januar 2026</w:t>
      </w:r>
    </w:p>
    <w:p>
      <w:r>
        <w:t>VD Tribunal cantonal, 2026-01-23, FR</w:t>
      </w:r>
    </w:p>
    <w:p>
      <w:r>
        <w:rPr>
          <w:b/>
        </w:rPr>
        <w:t xml:space="preserve">Quelle: </w:t>
      </w:r>
      <w:r>
        <w:t>https://mcp.opencaselaw.ch/entscheid/vd_gerichte_TD20.025561</w:t>
      </w:r>
    </w:p>
    <w:p>
      <w:r>
        <w:t>FR: VD_GERICHTE TD20.025561 du 23 janvier 2026</w:t>
      </w:r>
    </w:p>
    <w:p>
      <w:r>
        <w:t>IT: VD_GERICHTE TD20.025561 del 23 gennaio 2026</w:t>
      </w:r>
    </w:p>
    <w:p>
      <w:pPr>
        <w:pStyle w:val="Heading2"/>
      </w:pPr>
      <w:r>
        <w:t>Erwägungen</w:t>
      </w:r>
    </w:p>
    <w:p>
      <w:r>
        <w:rPr>
          <w:b/>
        </w:rPr>
        <w:t>E. 2</w:t>
      </w:r>
    </w:p>
    <w:p>
      <w:r>
        <w:t>Dans le cadre d’une procédure de mesures protectrices de l’union conjugale, les parties sont convenues, à l’audience du 19 juin 2018, de vivre séparées, étant précisé que la séparation effective était intervenue au mois d’avril 2018. A cette occasion, elles ont également réglé les modalités liées à leur vie séparée, soit les questions concernant l’attribution du domicile conjugal, l’entretien convenable d’E.________, ainsi que l’exercice de la garde et des relations personnelles sur l’enfant.</w:t>
      </w:r>
    </w:p>
    <w:p>
      <w:r>
        <w:t>- 5 -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2e éd., 2019, nn. 2 ss ad art. 310 CPC). Elle peut revoir librement l'appréciation des preuves effectuée par le juge de première</w:t>
      </w:r>
    </w:p>
    <w:p>
      <w:r>
        <w:t>- 10 - instance (art. 157 CPC en relation avec l’art. 310 let. c CPC) et vérifie si celui-ci pouvait admettre les faits qu’il a retenus (ATF 138 III 374 consid. 4.3.1 ; TF 5A_902/2020 du 25 janvier 2021 consid. 3.3).</w:t>
      </w:r>
    </w:p>
    <w:p>
      <w:r>
        <w:rPr>
          <w:b/>
        </w:rPr>
        <w:t>E. 2.2</w:t>
      </w:r>
    </w:p>
    <w:p>
      <w:r>
        <w:t>En ce qui concerne la contribution due à l’entretien d’un enfant, l'art. 296 al. 3 CPC impose la maxime d'office, de sorte que le juge ordonne les mesures nécessaires sans être lié par les conclusions des parents (ATF 128 III 411 consid. 3.1 ; TF 5A_1032/2019 du 9 juin 2020 consid. 4.2, RSPC 2020 569). 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réf. cit.). Compte tenu de leur devoir de collaboration, les parties doivent immédiatement informer l'autorité de tout fait nouveau susceptible d'influer la décision à prendre (TF 5A_541/2015 du 14 janvier 2016 consid. 5.2 ; TF 5A_22/2014 du 13 mai 2014 consid. 4.3). La maxime inquisitoire illimitée ne signifie donc pas que le juge doive recueillir d’office tous les éléments susceptibles d’influer sur la réglementation concernant les enfants (TF 5A_808/2012 du 29 août 2013 consid. 4.3.2). Ainsi,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réf. cit. ; pour la maxime inquisitoire, cf. ATF 138 III 374 consid. 4.3.1 ; TF 4A_476/2015 du</w:t>
      </w:r>
    </w:p>
    <w:p>
      <w:r>
        <w:rPr>
          <w:b/>
        </w:rPr>
        <w:t>E. 2.3</w:t>
      </w:r>
    </w:p>
    <w:p>
      <w:r>
        <w:t>La présente cause étant soumise à la maxime inquisitoire illimitée, les pièces produites par les parties en deuxième instance sont recevables. 3.</w:t>
      </w:r>
    </w:p>
    <w:p>
      <w:r>
        <w:rPr>
          <w:b/>
        </w:rPr>
        <w:t>E. 3</w:t>
      </w:r>
    </w:p>
    <w:p>
      <w:r>
        <w:t>a) Par demande unilatérale du 26 juin 2020, l’appelante a ouvert action en divorce. b) Les parties ont déposé plusieurs requêtes de mesures superprovisionnelles et provisionnelles qui ne sont pas détaillées ci- dessous dans la mesure où elles ne sont pas pertinentes pour l’examen de la présente cause. c) Par demande motivée du 21 mars 2022, l’appelante a conclu, en substance, avec suite de frais et dépens, à l’attribution de la garde exclusive sur sa fille et au paiement par l’intimé d’une pension en faveur de celle-ci. Elle a en particulier soutenu que si l’appelant travaillait effectivement comme concierge, il avait une formation de serrurier et pouvait, dans ces circonstances, réaliser un revenu de 5'208 fr. selon le « Salarium » (demande motivée du 21 mars 2022, all. 34-38). d) L’appelant a déposé une réponse le 19 juillet 2022 dans laquelle il concluait notamment à ce que la garde exclusive sur E.________ soit attribuée à l’intimée et à ce qu’il soit astreint à contribuer à l’entretien de sa fille par le versement d’une pension de 570 fr. par mois au maximum. Il a en particulier produit ses fiches de salaire d’octobre 2021 à avril 2022 établies par la société S.I. Sous le collège SA et ses fiches de salaire afférentes aux mois de novembre 2021 à avril 2022 auprès de D.________ SA. A l’appui de ces pièces, il a établi qu’il réalisait pour ces deux entreprises un revenu effectif de 3'772 fr. (all. 117, pièces 54-55). e) L’appelante et l’intimé ont déposé une réplique le 8 mars 2023 et une duplique le 6 avril 2023 respectivement. Dans sa réplique du</w:t>
      </w:r>
    </w:p>
    <w:p>
      <w:r>
        <w:rPr>
          <w:b/>
        </w:rPr>
        <w:t>E. 3.1</w:t>
      </w:r>
    </w:p>
    <w:p>
      <w:r>
        <w:t>Dans son appel, l’appelant conclut à être libéré de toute contribution d’entretien en faveur de sa fille. Il explique que sa situation financière s’est nettement péjorée depuis le 1er janvier 2024 : son salaire a diminué tandis que sa charge d’assurance LAMal a augmenté. Il dit percevoir un revenu mensuel net de 2'100 fr. 94 et avoir des charges incompressibles de 2'546 fr. 75. Le 5 novembre 2024, l’appelant a informé le tribunal d’une nouvelle péjoration de sa situation ensuite de son licenciement par D.________ SA, avec effet au 31 décembre 2024 pour des motifs indépendants de sa volonté, soit liés à une réorganisation de l’entreprise. Il se dit aujourd’hui en situation de déficit. Pour sa part, dans sa réponse et son appel joint, l’intimée accuse l’appelant de trouver tous les moyens pour éviter de payer quelque montant à sa fille depuis l’introduction de la demande de divorce en 2020 et affirme que la résiliation de son contrat de travail chez D.________ SA ne devrait rien au hasard. Elle requiert dès lors qu’un revenu hypothétique lui soit imputé. L’intimée soutient que l’appelant est âgé de 37 ans, est jeune et en bonne santé et n’a jamais cessé de travailler depuis son arrivée en W***. Il n’allègue par ailleurs aucun empêchement de travailler dans son</w:t>
      </w:r>
    </w:p>
    <w:p>
      <w:r>
        <w:t>- 12 - appel. Ainsi, il devrait être en mesure de percevoir un salaire équivalent à celui qu’il percevait lorsqu’il travaillait chez D.________ SA. Son revenu ne devrait donc pas être inférieur à 3'830 fr. selon ses relevés de salaires des mois de janvier à septembre 2024.</w:t>
      </w:r>
    </w:p>
    <w:p>
      <w:r>
        <w:rPr>
          <w:b/>
        </w:rPr>
        <w:t>E. 3.2.1</w:t>
      </w:r>
    </w:p>
    <w:p>
      <w:r>
        <w:t>Le tribunal a arrêté le revenu mensuel net moyen de l’appelant à 3'063 fr. 75 et ses charges incompressibles à 2'430 fr. 30, de sorte que son disponible s’élevait à 633 fr. 45. Les coûts directs de l’enfant ont été établis à 540 fr. jusqu’à 10 ans, puis à 740 fr. depuis lors. Les premiers juges ont ainsi arrêté la contribution due par l’appelant en faveur de sa fille à 540 fr. jusqu’aux 10 ans de l’enfant, puis à 640 fr. depuis lors, afin de tenir compte de la situation financière de l’appelant.</w:t>
      </w:r>
    </w:p>
    <w:p>
      <w:r>
        <w:rPr>
          <w:b/>
        </w:rPr>
        <w:t>E. 3.2.2</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TF 5A_600/2019 du 9 décembre 2020 consid. 5.1.1). Le Tribunal fédéral considère que, s’agissant de l’obligation d’entretien d’enfants mineurs, les exigences à l’égard des père et mère sont particulièrement élevées, de sorte que ceux-ci doivent réellement épuiser leur capacité maximale de travail (Stoudmann, Le divorce en pratique, 3e éd., Lausanne 2025, p. 65 et réf. cit.). Cela implique qu’il peut également être tenu compte des possibilités de gain qui n’exigent pas de formation professionnelle et se trouvent dans la tranche des bas salaires (Stoudmann, op. cit., p. 76). Lorsque le juge entend imputer un revenu hypothétique à un époux ou à un parent, il doit examiner deux conditions cumulatives. Il doit déterminer d’une part si l’on peut raisonnablement exiger d’une personne qu’elle exerce une activité lucrative ou augmente celle-ci, eu égard,</w:t>
      </w:r>
    </w:p>
    <w:p>
      <w:r>
        <w:t>- 13 -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Pour arrêter le montant du salaire, le juge peut se baser sur le calculateur de salaires du Secrétariat d’Etat à l’économie (SECO), sur l'enquête suisse sur la structure des salaires, réalisée par l'Office fédéral de la statistique (ATF 137 III 118 consid. 3.2, JdT 2011 II 486 ; TF 5A_613/2022 du 2 février 2023 consid. 4.1.1), et sur le calculateur de salaires « Salarium » élaboré et mis à disposition par cet office (TF 5A_489/2022 du 18 janvier 2023 consid. 5.2.3 ; TF 5A_613/2022 du 2 février 2023 consid. 4.4.2). Les revenus résultant de l’Enquête suisse sur la structure des salaires sont des revenus bruts. Pour obtenir le revenu net, il y a lieu de déduire les charges sociales par 13,225 % au total (CACI 22 septembre 2022/493 ; CACI 6 juillet 2020/287).</w:t>
      </w:r>
    </w:p>
    <w:p>
      <w:r>
        <w:rPr>
          <w:b/>
        </w:rPr>
        <w:t>E. 3.3</w:t>
      </w:r>
    </w:p>
    <w:p>
      <w:r>
        <w:t>En l’occurrence, il ressort de la lettre de résiliation produite par l’appelant que celui-ci a été licencié de son emploi auprès de D.________ SA avec effet au 31 décembre 2024. Sa situation se serait ainsi encore péjorée depuis l’appel, puisque, dès le 1er janvier 2025, il ne percevrait plus que son salaire chez C.________, qui s’élève – selon l’autorité de première instance, ce qui n’a pas été contesté par l’appelant – à 1'510 fr. 63. Selon son calcul, sa situation présenterait un déficit de 445 fr. 81.</w:t>
      </w:r>
    </w:p>
    <w:p>
      <w:r>
        <w:t>- 14 - Pourtant, il ressort des décomptes de salaires produits par l’appelant que celui-ci a réalisé les revenus suivants auprès de C.________ D.________ SA pour la période de janvier 2024 à mars 2025 : D.________ C.________ Janvier xxx 1357.8 1410.9 Février 504.2 1060.65 838.55 Mars 700.15 838.55 1098.4 Avril 447.4 1127 978.85 Mai 682.3 838.55 1091.9 Juin 735.75 163.55 350.7 978.85 1469.95 Juillet 300 1493.3 1845.1 678.1 327.4 Août 617.6 1047.6 838.55 Septembre 557.65 1595.1 1072.4 374.15 233.85 Octobre 655.65 163.65 1025.6 303.95 1189.05 Novembre 574.05 1038.35 838.55 Décembre 1076.05 3239.2 303.95 163.65 2411.15 Total 6850.8 33786.85 Total des revenus pour 2024 40637.65 D.________ C.________ Janvier 929 1216.05 1175.05 Février 860.25 871.05 1090.7 Mars 582.9 1410.2 1011.35 Total 2372.15 6774.4 Total des revenus pour 2025 9146.55 De janvier à mars 2025, l’appelant a perçu un salaire provenant tant de C.________ que de D.________ SA. Depuis l’envoi de juin 2025 où l’appelant a actualisé sa situation financière, il n’a pas informé l’autorité d’une modification de celle-ci. Si elle devait avoir changé, l’appelant aurait dû en faire part en vertu de son devoir de collaboration (cf. consid. 2.2 supra). A préciser que « toutes les fiches de salaires 2025 » ont été requises par le juge instructeur autour du 25 mars 2025. Elles ont été produites par l’appelant le 11 juin 2025, après plusieurs prolongations de délai obtenues. On aurait ainsi été en droit d’attendre une version</w:t>
      </w:r>
    </w:p>
    <w:p>
      <w:r>
        <w:t>- 15 - actualisée de la situation financière de l’appelant, au jour de la production. L’intéressé doit supporter les conséquences de ses carences en la matière, en ce sens qu’on retiendra sa situation financière jusqu’à mars 2025 comme étant encore actuelle. Il faut toutefois constater que l’appelant travaille à un taux de 50%, voire 60% si on tient compte de son activité auprès de D.________ SA. Or, l’appelant est âgé de 38 ans et il ne fait pas valoir souffrir de problèmes de santé qui l’empêcheraient de travailler à temps plein. Il n’est en outre pas notoire qu’il serait difficile de trouver du travail à 100% dans le milieu de la conciergerie, y compris pour une personne ne disposant pas d’un diplôme d’études suisse ou d’une formation particulière dans le domaine, comme l’appelant. Du moins, celui-ci n’allègue pas le contraire. L’appelant est ainsi pleinement en mesure de travailler en qualité de concierge à temps plein, étant rappelé que, s’agissant de l’entretien d’un enfant mineur, les exigences posées à la réalisation d’un revenu sont particulièrement élevées. Conformément à l’extrait du Salarium produit par l’intimée sous pièce 2, pour une personne de 38 ans avec dix années de services employé dans le domaine du « personnel des services directs aux particuliers », sans fonction de cadre ni formation professionnelle complète, la médiane du salaire mensuel brut s’élève à 4'439 fr., tandis que 25% des employés gagnent moins de 3'952 fr. et 25% gagnent plus de 5'002 francs. Dans la mesure où l’appelant n’a pas effectué sa scolarité en W*** et pour tenir compte que cela pourrait le prétériter sur le marché du travail, il se justifie de tenir compte de la moyenne inférieure, soit 3'952 fr. par mois. Après déduction des charges sociales par 13,225%, c’est ainsi un revenu mensuel net de 3'429 fr. 35 qui doit être imputé à l’appelant à titre de revenu hypothétique. L’intimée a ouvert action en divorce par demande unilatérale du 26 juin 2020. Dans sa réponse du 19 juillet 2022, l’appelant a conclu à</w:t>
      </w:r>
    </w:p>
    <w:p>
      <w:r>
        <w:t>- 16 - être astreint à payer une pension de 570 fr. en faveur de sa fille. Aussi, depuis cette date à tout le moins, l’appelant savait et admettait qu’il allait devoir contribuer à l’entretien de sa fille. On peut donc considérer qu’il a disposé d’un délai suffisant pour augmenter son taux d’activité à 100%, de sorte que le revenu hypothétique de 3'429 fr. 35 peut lui être imputé avec effet immédiat. 4. 4.1 4.1.1 L’appelant soutient que, dans la mesure où l’enfant vit auprès de sa mère en S***, la base mensuelle de celle-ci aurait dû être adaptée au coût de la vie dans ce pays, notoirement inférieur à celui suisse. 4.1.2 Lorsque le créancier d’entretien vit à l’étranger, il y a lieu de tenir compte, lors du calcul du montant de base, du niveau de vie de ce pays. La jurisprudence considère comme approprié d’utiliser les enquêtes des grandes banques internationales ou les données de l’Office fédéral de la statistique. Ces données constituent des faits notoires (Stoudmann, op. cit., p. 187 et réf. cit.). 4.1.3 Il est admis qu’E.________ vit auprès de sa mère en S*** depuis la séparation des parties, soit depuis 2018. En conséquence, sa base mensuelle doit être adaptée en fonction de l’indice des niveaux de prix dans ce pays, comme cela a d’ailleurs été fait pour l’intimée. Selon les données fournies par l’Office fédéral de la statistique, l’indice des niveaux de prix s’élève à 158.4 pour la W*** et à 109.2 pour la S***. La base mensuelle d’E.________ doit ainsi être arrondie à 280 fr. (400 fr. : 158.4 x 109.2) jusqu’à ses 10 ans, puis à 420 fr. (600 fr. : 158.4 x 109.2) depuis lors.</w:t>
      </w:r>
    </w:p>
    <w:p>
      <w:r>
        <w:t>- 17 - 4.2 L’appelant conteste ses charges dans la mesure où ses frais d’assurance LAMal auraient augmenté depuis janvier 2024. L’autorité de première instance a arrêté les frais d’assurance LAMal de l’appelant à 409 fr. 10 par mois. Or, il ressort des pièces au dossier que sa prime LAMal mensuelle – partiellement subsidiée – était de 158 fr. 95 (480 fr. 30 – 7.35 [taxe environnementale] – 10 fr. [compensation] – 304 fr. [subside]) jusqu’au 31 décembre 2024. C’est donc ce montant qui doit être retenu. A compter du 1er janvier 2025, la prime LAMal de l’appelant s’élève, selon les pièces produites par celui-ci, à 147 fr. 55. 4.3 Compte tenu de la prise en compte d’un revenu hypothétique chez l’appelant et de la modification de ses frais d’assurance LAMal, il y a lieu de recalculer la pension due par celui-ci. 5. 5.1 5.1.1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5.1.2 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W***, constituant un point de départ. Selon ces lignes directrices, le minimum vital se compose d’un</w:t>
      </w:r>
    </w:p>
    <w:p>
      <w:r>
        <w:t>- 18 - montant de base – 1'200 fr. par mois pour une personne seule, 1'700 fr. pour un couple avec des enfants, 1'350 fr. pour un débiteur monoparental, 400 fr. pour les enfants âgés de moins de dix ans et 600 fr. pour les enfants âgés de dix ans ou plus.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Lorsque les moyens sont limités, il convient de s’en tenir à ces charges, qui constituent le minimum vital LP (cf. ATF 147 III 265 consid. 7.2), étant rappelé qu’il ne doit pas être porté atteinte au minimum vital LP du débirentier (ATF 147 III 265 consid. 6.2). 5.1.3 Si les moyens le permettent, il y a lieu d’élargir le budget à des dépenses supplémentaires, qui constituent le minimum vital du droit de la famille, en ajoutant notamment les impôts courants, estimés sur la base du calculateur cantonal (ATF 147 III 457, JdT 2022 II 211, FamPra.ch 2021 p. 1127). 5.1.4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w:t>
      </w:r>
    </w:p>
    <w:p>
      <w:r>
        <w:t>- 19 - d’entretien excessives (ATF 147 III 265 précité consid. 7.2 à 7.4 et réf. cit.). 5.2 Compte tenu des charges inchangées de première instance et des modifications apportées dans le présent arrêt, la situation de la famille s’établit comme il suit :</w:t>
      </w:r>
    </w:p>
    <w:p>
      <w:r>
        <w:t>- 20 - E.________ a atteint l’âge de 10 ans le 24 septembre 2024, ce qui a pour effet d’augmenter le montant de sa base mensuelle. Certes, le montant des primes LAMal de l’appelant et de sa fille ont changé dès le 1er janvier 2025. Toutefois, par souci de simplification, les nouvelles primes seront prises en compte dès le 1er octobre 2024, afin de faire coïncider les deux périodes, la jurisprudence précitée permettant à la Cour de céans de simplifier en particulier les périodes de calcul (Juge unique CACI 25 juin 2024/284). Aussi, à compter du 1er octobre 2024, la situation est la suivante :</w:t>
      </w:r>
    </w:p>
    <w:p>
      <w:r>
        <w:t>- 21 - 5.3 5.3.1 En préambule, on relève que l’intimée n’a pas conclu à une pension en sa faveur si bien que cette question, soumise à la maxime de disposition, n’a pas à être examinée. On constate que le disponible de l’appelant lui permet de couvrir sa charge fiscale (calculée selon le calculateur cantonal ; cf. consid. 5.1.3 supra). Le minimum vital d’E.________ a ainsi été élargi au minimum vital du droit de la famille afin de comprendre sa part aux impôts de l’intimée. Pour arrêter cette charge, les impôts de l’intimée ont été estimés grâce au calculateur mis à disposition par le gouvernement français (disponible sur le site internet https://www.impots.gouv.fr/simulateurs) – dont le site donne des informations accessibles à tous et bénéficiant d'une empreinte officielle, constituant des faits notoires (ATF 143 IV 380 consid. 1.2) pouvant être retenus d'office y compris en deuxième instance (TF 5A_842/2020 du 14 octobre 2021 consid. 6.2.3 ; TF 4A_261/2013 du 1er octobre 2013 consid. 4.3 ; cf. en droit de la famille ; TF 4A_412/2011 du 4 mai 2012 consid. 2.2, non publié à l'ATF 138 III 294) – sur la base d’un revenu annuel de 62'184 fr. (5'182 fr. x 12) et d’une pension perçue pour E.________ de 550 fr. par mois, soit 6'600 fr. par an.</w:t>
      </w:r>
    </w:p>
    <w:p>
      <w:r>
        <w:t>- 22 - Selon ce calculateur, la charge fiscale de l’intimée peut être estimée à 583 fr. par mois. La pension (estimée) d’E.________ de 550 fr. représente environ 9.5%, arrondi à 10%, du revenu total imposable de l’intimée ([6'600 fr. : 68'784 fr.] x 100). Ce pourcentage doit ainsi être appliqué aux impôts de l’intimée pour obtenir la part aux impôts de l’enfant, soit 58 fr. 30 (10% x 583 fr.). C’est ce montant qui a été reporté dans le tableau à ce titre. 5.3.2 Pour la période jusqu’au 30 septembre 2024, l’excédent de l’appelant s’élève à 290 fr. 70. Selon la règle de répartition des grandes et petites têtes exposée ci-dessus, 1/5e de ce montant doit être attribué à E.________, soit 58 fr. 14. En conséquence, jusqu’au 30 septembre 2024, l’appelant devrait verser à E.________ une pension totale de 536 fr. 70 (478 fr. 50 de coûts directs + 58 fr. 14 de participation à l’excédent), que l’on peut arrondir à 540 francs. 5.3.3 Pour la période à compter du 1er octobre 2024, l’excédent de l’appelant s’élève à 163 fr. 70, dont 1/5e doit être attribué à E.________, soit 32 fr. 75. En conséquence, dès le 1er octobre 2024, l’appelant devrait verser à E.________ une pension totale de 649 fr. 65 (616 fr. 90 de coûts directs + 32 fr. 75 de participation à l’excédent), que l’on peut arrondir à 650 francs. 6. 6.1 Au vu de ce qui précède, le jugement entrepris doit être réformé au chiffre VII de son dispositif en ce sens que l’appelant doit être astreint à contribuer à l’entretien de sa fille, dès jugement définitif et exécutoire, par le régulier versement, le premier de chaque mois, en mains de l’intimée, d’un montant de 540 fr. jusqu’au 30 septembre 2024 et de 650 fr. dès le 1er octobre 2024 et jusqu’à la majorité de l’enfant ou la fin de sa formation professionnelle ou de ses études aux conditions de</w:t>
      </w:r>
    </w:p>
    <w:p>
      <w:r>
        <w:t>- 23 - l’art. 277 al. 2 CC. Le chiffre VI du dispositif du jugement entrepris doit être supprimé dans la mesure où l’entretien convenable de l’enfant est couvert par les pensions versées par l’appelant. En définitive, l’appel d’A.________ doit être très partiellement admis puisque le montant de l’entretien convenable d’E.________ à compter de ses 10 ans révolus passe de 740 fr. à 650 francs. L’appel de B.________ doit lui aussi être très partiellement admis puisque la pension due par le père à compter du 1er octobre 2024 passe de 640 fr. à 650 francs. 6.2 Les parties ont requis le bénéfice de l’assistance judiciaire pour la procédure d’appel. 6.2.1 En vertu de l’art. 117 CPC, une personne a droit à l’assistance judiciaire lorsqu’elle ne dispose pas de ressources suffisantes (let. a) et que sa cause ne paraît pas dépourvue de toute chance de succès (let. b). 6.2.2 L’appelant réalise les conditions cumulées de l’art. 117 CPC, si bien que sa requête d’assistance judiciaire doit être admise, Me Filip Banic étant désigné comme conseil d’office avec effet au 17 septembre 2024, cette dernière date correspondant aux premières opérations relatives à la procédure d’appel, moyennant le remboursement de mensualités de 50 francs. 6.2.3 L’appelante réalise les conditions cumulées de l’art. 117 CPC, si bien que sa requête d’assistance judiciaire doit être admise, Me Luc Vaney étant désigné comme conseil d’office avec effet au 17 septembre 2024, cette dernière date correspondant aux premières opérations relatives à la procédure d’appel, moyennant le remboursement de mensualités de 50 francs. 6.3</w:t>
      </w:r>
    </w:p>
    <w:p>
      <w:r>
        <w:t>- 24 - 6.3.1 Selon l’art. 318 al. 3 CPC, si l’instance d’appel statue à nouveau, elle se prononce sur les frais – soit les frais judiciaires et les dépens (art. 95 al. 1 CPC) – de première instance.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 Une dérogation fondée sur l'art. 107 al. 1 let. c CPC peut entrer en considération lorsque les divers points litigieux ne peuvent pas se compenser, dès lors qu'il ne s'agit pas uniquement de prétentions pécuniaires ; il en va de même quand la situation économique des parties est sensiblement différente (TF 5A_245/2021 du 7 septembre 2022 consid. 4.2.1). 6.3.2 En l’espèce, nonobstant les modifications apportées par le présent arrêt au montant des pensions dues, la répartition des frais et dépens arrêtée en première instance peut demeurer inchangée compte tenu des autres conclusions prises par les parties qui ont été tranchées par le tribunal et eu égard à la libre marge d’appréciation laissée au juge dans les affaires du droit de la famille (cf. consid. 6.3.1 supra). 6.3.3 En deuxième instance, l’appelant obtient très partiellement gain de cause. Il concluait en effet à être totalement libéré de toute contribution à l’entretien de sa fille alors que la pension à compter du 1er octobre 2024 est augmentée par rapport à celle fixée en première</w:t>
      </w:r>
    </w:p>
    <w:p>
      <w:r>
        <w:t>- 25 - instance, étant précisé toutefois que le montant assurant l’entretien convenable d’E.________ dès cette date passe de 740 fr. à 650 francs. L’appelante elle aussi obtient très partiellement gain de cause puisqu’elle concluait à une augmentation des pensions mais n’obtient en définitive qu’une augmentation de 10 fr. sur la pension due par le père à compter du 1er octobre 2024. Cela étant, les deux parties ont obtenu gain de cause sur certains de leurs griefs. En conséquence, les frais judiciaires de deuxième instance, arrêtés à 1'200 fr. au total (art. 63 al. 1 TFJC [Tarif des frais judiciaires civils du 28 septembre 2010, BLV 270.11.5]), doivent être mis à la charge des parties à hauteur d’une moitié chacune, soit 600 francs. Dans la mesure où elles sont toutes deux au bénéfice de l’assistance judiciaire, leur part sera toutefois provisoirement laissée à la charge de l’Etat (art. 122 al. 2 CPC). Pour les mêmes motifs, les dépens de deuximèe instance seront compensés. 6.4 6.4.1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 6.4.2 Dans sa liste des opérations du 27 octobre 2025, Me Filip Banic a indiqué avoir consacré 17 heures et 50 minutes au dossier d’appel pour la période du 3 septembre 2024 au G 2025. Ce temps paraît excessif et doit être revu. En particulier, ledit conseil indique avoir consacré en tout 1 heure et 20 minutes à l’établissement des bordereaux (les 17 septembre 2024, 2 octobre 2024 et 10 juin 2025), ce qui doit être écarté dans la</w:t>
      </w:r>
    </w:p>
    <w:p>
      <w:r>
        <w:t>- 26 - mesure où cette opération relève d’un travail de secrétariat (Juge unique CACI 15 avril 2024/165 ; Juge déléguée CACI 1er mars 2021/92 consid. 8.3.2 ; CACI 8 janvier 2021/12 consid. 6.1). En outre, sur l’ensemble des heures annoncées, 5 heures et 45 minutes sont consacrées à des entretiens avec le client, par téléphone ou en personne. Compte tenu du temps total annoncé, cette proportion semble excessive, étant précisé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consid. 2.3). Une réduction se justifie d’autant plus que ce total ne comprend pas les nombreux courriers adressés au mandant et que trois des opérations référencées sont antérieures à la date d’octroi de l’assistance judiciaire le 17 septembre 2024. En conséquence, le temps consacré aux « entretiens client » doit être réduit à 3 heures. C’est en définitive un total de 13 heures et 45 minutes qui doit être retenu (17 heures et 50 minutes – 1 heure et 20 minutes – 2 heures et 45 minutes). Il en résulte que l’indemnité de Me Banic s’élève à 2'475 fr. (13 heures et 45 minutes x 180 fr.), montant auquel il convient d’ajouter des débours par 49 fr. 50 (2'475 fr. x 2%) ainsi qu’une TVA à 8.1% sur l’ensemble, soit 204 fr. 50, pour un total de 2'729 francs. 6.4.3 Dans sa liste des opérations du 27 octobre 2025, Me Luc Vaney a indiqué avoir consacré 8 heures au dossier d’appel pour la période du 27 septembre 2024 au 27 octobre 2025. Ce temps paraît correct et peut être admis. Il en découle que l’indemnité de Me Vaney s’élève à 1'440 fr. (8 heures x 180 fr.), montant auquel il convient d’ajouter des débours par 28 fr. 80 (1'444 fr. x 2%) ainsi qu’une TVA à 8.1% sur l’ensemble, soit 119 fr., pour un total de 1'587 fr. 80. 6.5 Les bénéficiaires de l’assistance judiciaire sont tenus au remboursement de l’indemnité allouée à leur conseil d’office et de la part</w:t>
      </w:r>
    </w:p>
    <w:p>
      <w:r>
        <w:t>- 27 - des frais judiciaires mis à leur charge dès qu’ils seront en mesure de le faire (art. 123 CPC). Il incombe à la Direction générale des affaires institutionnelles et des communes de fixer le principe et les modalités de ce remboursement (art. 39a CDPJ [Code de droit privé judiciaire vaudois du</w:t>
      </w:r>
    </w:p>
    <w:p>
      <w:r>
        <w:rPr>
          <w:b/>
        </w:rPr>
        <w:t>E. 8</w:t>
      </w:r>
    </w:p>
    <w:p>
      <w:r>
        <w:t>mars 2023, l’intimée a notamment admis l’all. 117. f) Une audience de premières plaidoiries et de mesures provisionnelles s’est tenue le 11 avril 2023. A cette occasion, les parties ont signé une convention partielle selon laquelle le régime matrimonial était dissous et liquidé en l’état, « les parties n’ayant pas de conclusions à faire valoir l’une contre l’autre de ce chef ».</w:t>
      </w:r>
    </w:p>
    <w:p>
      <w:r>
        <w:t>- 6 - g) Le 3 novembre 2023, le tribunal a tenu l’audience de plaidoiries finales et a procédé à l’interrogatoire des parties. 4. a) Depuis la séparation des parties, l’appelante vit dans une maison individuelle à R***, en S***, avec son nouveau compagnon et E.________. L’appelante travaille à 80% en qualité d’employée de commerce auprès de J.________ au T*** pour un revenu mensuel net de 5'182 fr. 05. Elle se rend sur son lieu de travail en voiture depuis R*** quatre fois par semaine, étant précisé que ce trajet est d’environ 105 km aller-retour. Ses charges mensuelles sont les suivantes : - Base mensuelle Fr. 570.00 - Logement (85% de 1'328 fr.) Fr. 1'128.80 - Assurance LAMal Fr. 189.90 - Frais de repas pris hors du domicile Fr. 173.60 - Frais de transport Fr. 321.65 - Impôts (moins la part d’E.________) Fr. 524.70 Total Fr. 2'908.65 b) L’appelant a grandi en V***, pays dans lequel il a rencontré l’appelante en 2011. Il a décidé de s’installer auprès d’elle en W*** en 2012. Il vit actuellement et depuis la séparation dans un appartement à Q***. L’appelant travaille à 50% en qualité de concierge auprès de C.________ pour un salaire net mensuel de 1'510 fr. 63. Il travaillait également pour environ 7 heures et 30 minutes hebdomadaires pour D.________ SA et réalisait à ce titre un revenu net mensuel moyen de 1'553 fr. 14, soit un revenu mensuel moyen total de 3'063 fr. 77. Il a toutefois été licencié de D.________ SA avec effet au 31 décembre 2024.</w:t>
      </w:r>
    </w:p>
    <w:p>
      <w:r>
        <w:t>- 7 - Ses charges mensuelles jusqu’au 30 septembre 2024 sont les suivantes : - Base mensuelle Fr. 1'200.00 - Logement Fr. 620.00 - Assurance LAMal Fr. 158.95 - Frais d’exercice du droit de visite Fr. 123.20 - Frais de transport (abonnement TL) Fr. 78.00 - Impôts Fr. 480.00 Total Fr. 2'660.15 A compter du 1er octobre 2024, ses charges mensuelles sont les suivantes : - Base mensuelle Fr. 1'200.00 - Logement Fr. 620.00 - Assurance LAMal Fr. 147.55 - Frais d’exercice du droit de visite Fr. 123.20 - Frais de transport (abonnement TL) Fr. 78.00 - Impôts Fr. 480.00 Total Fr. 2'648.75 c) E.________ habite avec sa mère à R*** où elle est scolarisée. Ses coûts directs s’établissent comme il suit pour la période jusqu’au 31 décembre 2024 : - Base mensuelle Fr. 280.00 - Part au loyer de la mère (15% de 1'328 fr.) Fr. 199.20 - Assurance LAMal Fr. 51.00 - Garderie Fr. 140.00 - Cantine Fr 50.00 - Part d’impôts de la mère Fr. 58.30 Total Fr. 778.50</w:t>
      </w:r>
    </w:p>
    <w:p>
      <w:r>
        <w:t>- 8 - ./. Allocations familiales Fr. 300.00 Coûts directs Fr. 478.50 A compter du 1er janvier 2025, sa prime d’assurance LAMal s’élève à 49 fr. 40. E.________ a par ailleurs atteint l’âge de dix ans le 24 septembre 2024, de sorte que sa base mensuelle a augmenté. Compte tenu de la modification de ces deux charges, les coûts directs de l’enfant s’établissent alors comme il suit : - Base mensuelle Fr. 420.00 - Part au loyer de la mère (15% de 1'328 fr.) Fr. 199.20 - Assurance LAMal Fr. 49.40 - Garderie Fr. 140.00 - Cantine Fr 50.00 - Part d’impôts de la mère Fr. 58.30 Total Fr. 916.90 ./. Allocations familiales Fr. 300.00 Coûts directs Fr. 616.90 En dro it : 1. 1.1 L’appel est recevable contre les décisions finales de première instance (art. 308 al. 1 let. a CPC), dans les causes patrimoniales dont la valeur litigieuse au dernier état des conclusions devant l’autorité de première instance est de 10'000 fr. au moins (art. 308 al. 2 CPC). Ecrit et motivé, il doit être introduit auprès de l’autorité d’appel dans les trente jours à compter de la notification de la décision motivée (art. 311 al. 1 CPC). La réponse doit être déposée dans un délai de trente jours (art. 312 al. 2 CPC) ; l’intimé à l’appel peut former un appel joint dans la réponse (art. 313 al. 1 CPC). Les conclusions doivent exprimer clairement la prétention réclamée. Elles doivent être formulées de telle manière que le tribunal puisse les reprendre telles quelles dans le dispositif de son jugement (ATF</w:t>
      </w:r>
    </w:p>
    <w:p>
      <w:r>
        <w:t>- 9 - 137 III 617 consid. 4.3). Si les conclusions ne sont pas claires, elles doivent être interprétées objectivement selon le principe de la confiance (ATF 144 III 93 consid. 5.2). 1.2 1.2.1 Formé en temps utile contre une décision finale dans une cause patrimoniale dont la valeur litigieuse est supérieure à 10'000 fr. par une partie disposant d’un intérêt digne de protection (art. 59 al. 2 let. a CPC), l’appel est recevable, sous réserve de ce qui suit. La formulation des conclusions de l’appelant est peu claire de prime abord. La lecture de la motivation de l’appel et de la formulation des conclusions permet toutefois de déduire de l’appel que l’appelant cherche à être libéré du paiement de la contribution d’entretien en faveur de sa fille. Le ch. manquant VIII traite de l’indexation de la contribution d’entretien prévue au ch. VII. Ce chiffre du dispositif est lié à ce que l’appelant demande et suit le sort de la cause. De plus, dans sa réponse du 17 janvier 2025, il conclut à ce que les ch. VIII à XX demeurent inchangés. C’est donc bien une erreur de plume qui n’a pas d’incidence sur le sort de la cause. 1.2.2 Déposée dans le délai pour ce faire, la réponse est recevable. L’appel joint formé dans ladite réponse est également recevable en vertu de l’art. 313 al. 1 CPC. 2.</w:t>
      </w:r>
    </w:p>
    <w:p>
      <w:r>
        <w:rPr>
          <w:b/>
        </w:rPr>
        <w:t>E. 11</w:t>
      </w:r>
    </w:p>
    <w:p>
      <w:r>
        <w:t>janvier 2016 consid. 3, in Revue suisse de procédure civile [RSPC] 2016 p. 190 ; Juge unique CACI 2 août 2021/372 consid. 3).</w:t>
      </w:r>
    </w:p>
    <w:p>
      <w:r>
        <w:t>- 11 - En vertu de l'art. 317 al. 1bis CPC entré en vigueur le 1er janvier 2025 et directement applicable aux procédures en cours (art. 407f CPC), lorsque la cause est soumise à la maxime inquisitoire illimitée, la juridiction d’appel admet les faits et moyens de preuve nouveaux jusqu'aux délibérations.</w:t>
      </w:r>
    </w:p>
    <w:p>
      <w:r>
        <w:rPr>
          <w:b/>
        </w:rPr>
        <w:t>E. 12</w:t>
      </w:r>
    </w:p>
    <w:p>
      <w:r>
        <w:t>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