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TD20.024498 vom 5. Juli 2021</w:t>
      </w:r>
    </w:p>
    <w:p>
      <w:r>
        <w:t>VD Tribunal cantonal, 2021-07-05, FR</w:t>
      </w:r>
    </w:p>
    <w:p>
      <w:r>
        <w:rPr>
          <w:b/>
        </w:rPr>
        <w:t xml:space="preserve">Quelle: </w:t>
      </w:r>
      <w:r>
        <w:t>https://mcp.opencaselaw.ch/entscheid/vd_gerichte_TD20.024498</w:t>
      </w:r>
    </w:p>
    <w:p>
      <w:r>
        <w:t>FR: VD_GERICHTE TD20.024498 du 5 juillet 2021</w:t>
      </w:r>
    </w:p>
    <w:p>
      <w:r>
        <w:t>IT: VD_GERICHTE TD20.024498 del 5 luglio 2021</w:t>
      </w:r>
    </w:p>
    <w:p>
      <w:pPr>
        <w:pStyle w:val="Heading2"/>
      </w:pPr>
      <w:r>
        <w:t>Erwägungen</w:t>
      </w:r>
    </w:p>
    <w:p>
      <w:r>
        <w:rPr>
          <w:b/>
        </w:rPr>
        <w:t>E. 12.1</w:t>
      </w:r>
    </w:p>
    <w:p>
      <w:r>
        <w:t>En définitive, l’appel doit être admis dans une large mesure et l’ordonnance attaquée réformée en ce sens que la contribution d’entretien due par B.J.________ en faveur de D.J.________ s’élève à 1'050 fr., allocations familiales non comprises, et que dès le 1er avril 2021, B.J.________ ne contribuera plus à l’entretien de A.J.________.</w:t>
      </w:r>
    </w:p>
    <w:p>
      <w:r>
        <w:rPr>
          <w:b/>
        </w:rPr>
        <w:t>E. 12.2</w:t>
      </w:r>
    </w:p>
    <w:p>
      <w:r>
        <w:t>Vu l’issue de l’appel, les frais judiciaires, qui seront fixés à 600 fr. (art. 65 al. 2 TFJC [tarif des frais judiciaires civils du 28 septembre 2010 ; BLV 270.11.5]), seront mis à la charge de l’intimée par 400 fr. et à la charge de l’appelant par 200 francs (art. 106 al. 2 CPC). Partant,</w:t>
      </w:r>
    </w:p>
    <w:p>
      <w:r>
        <w:t>- 27 - l’intimée versera à l’appelant B.J.________ la somme de 400 fr. à titre de remboursement partiel de l’avance de frais.</w:t>
      </w:r>
    </w:p>
    <w:p>
      <w:r>
        <w:rPr>
          <w:b/>
        </w:rPr>
        <w:t>E. 12.3</w:t>
      </w:r>
    </w:p>
    <w:p>
      <w:r>
        <w:t>L’intimée versera également à l’appelant des dépens réduits de deuxième instance arrêtés à 1’200 fr. (art. 3 et 7 TDC [tarif des dépens en matière civile du 23 novembre 2010 ; BLV 270.11.6]). Par ces motifs, le juge délégué de la Cour d’appel civile prononce : I. L’appel est partiellement admis. II. Les chiffres I et II de l’ordonnance sont réformés comme il suit : I. Dit que dès et y compris le 1er octobre 2020, B.J.________ contribuera à l’entretien de sa fille D.J.________, née le [...] 2002, par le régulier versement, d’avance le premier de chaque mois, en mains de D.J.________, d’une contribution mensuelle de 1'050 fr. (mille cinquante francs), éventuelles allocations familiales non comprises et dues en sus. II. Dit qu’B.J.________ contribuera à l’entretien de son épouse, A.J.________, par le régulier versement, d’avance le premier de chaque mois, en mains de la bénéficiaire, d’une pension mensuelle de 1'000 fr. (mille francs) du 1er octobre 2020 au 31 décembre 2020, puis de 884 fr. (huit cent huitante-quatre francs) du 1er janvier 2021 au 31 mars 2021 ; dès le 1er avril 2021, B.J.________ ne contribuera plus à l’entretien de son épouse A.J.________. III. Les frais judiciaires de deuxième instance, fixés à 600 fr. (six cents francs), sont mis à la charge de l’intimée A.J.________ par</w:t>
      </w:r>
    </w:p>
    <w:p>
      <w:r>
        <w:t>- 28 - 400 fr. (quatre cents francs) et à la charge de l’appelant B.J.________ par 200 fr. (deux cents francs). IV. L’intimée A.J.________ versera à l’appelant B.J.________ la somme de 1’600 fr. (mille six cents francs) à titre de remboursement partiel de l’avance de frais et de dépens réduits de deuxième instance. V. L’arrêt est exécutoire. Le juge délégué : La greffière : Du Le présent arrêt, dont la rédaction a été approuvée à huis clos, est notifié en expédition complète à : - Me Serge Rouvinet (pour B.J.________), - Me Mireille Loroch (pour A.J.________)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- 29 -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