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TD20.017641 vom 15. März 2023</w:t>
      </w:r>
    </w:p>
    <w:p>
      <w:r>
        <w:t>VD Tribunal cantonal, 2023-03-15, FR</w:t>
      </w:r>
    </w:p>
    <w:p>
      <w:r>
        <w:rPr>
          <w:b/>
        </w:rPr>
        <w:t xml:space="preserve">Quelle: </w:t>
      </w:r>
      <w:r>
        <w:t>https://mcp.opencaselaw.ch/entscheid/vd_gerichte_TD20.017641</w:t>
      </w:r>
    </w:p>
    <w:p>
      <w:r>
        <w:t>FR: VD_GERICHTE TD20.017641 du 15 mars 2023</w:t>
      </w:r>
    </w:p>
    <w:p>
      <w:r>
        <w:t>IT: VD_GERICHTE TD20.017641 del 15 marzo 2023</w:t>
      </w:r>
    </w:p>
    <w:p>
      <w:pPr>
        <w:pStyle w:val="Heading2"/>
      </w:pPr>
      <w:r>
        <w:t>Erwägungen</w:t>
      </w:r>
    </w:p>
    <w:p>
      <w:r>
        <w:rPr>
          <w:b/>
        </w:rPr>
        <w:t>E. 1</w:t>
      </w:r>
    </w:p>
    <w:p>
      <w:r>
        <w:t>Par jugement du 13 janvier 2023, le Tribunal civil de l’arrondissement de La Côte (ci-après : le tribunal) a modifié le chiffre III du dispositif du jugement de divorce qu’il avait rendu le 16 avril 2018, dont la teneur était désormais la suivante : « III. DIT que les parents exerceront une garde alternée sur leur fils [...] à raison d'une semaine sur deux, du vendredi à 18h00 au dimanche suivant à 18h00, à charge pour le parent prenant sa semaine de garde d'aller chercher l'enfant chez l'autre parent, et que chaque parent aura l'enfant auprès de lui durant la moitié des vacances scolaires et des jours fériés, selon un planning établi d'un commun accord dans le courant du mois de novembre précédent pour l'année suivante ; Illbis DIT que le domicile légal de l'enfant [...] est auprès de sa mère », a supprimé le chiffre IV du dispositif du jugement de divorce rendu le 16 avril 2018 par le Tribunal civil de l'arrondissement de La Côte (II), a modifié le chiffre VIII du dispositif du jugement de divorce rendu le 16 avril 2018 par le Tribunal civil de l'arrondissement de La Côte, tel que modifié par le chiffre I/I du dispositif de l'arrêt du 19 septembre 2018 de la Cour d'appel civile, dont la teneur est désormais la suivante (III) : « VIII.DIT que L.________ contribuera à l'entretien de son fils [...] par le régulier versement d'avance le premier de chaque mois, en mains d'A.________ , dès le 1er août 2022, des pensions suivantes : - 150 fr. (cent cinquante francs) du 1er août au 31 octobre 2022 ; - 170 fr. (cent septante francs) dès le 1er novembre 2022 jusqu'à l'âge de 18 ans révolus, et au-delà de la majorité aux conditions de l'art. 277 al. 2 CC », a exhorté A.________ à continuer le suivi qu'elle a mis en place avec Mme [...], psychothérapeute, en délégation du cabinet de Dr. Méd.</w:t>
      </w:r>
    </w:p>
    <w:p>
      <w:r>
        <w:t>- 3 - [...] (IV), a maintenu le chiffre V du jugement de divorce rendu le 16 avril 2018 par le Tribunal civil de l'arrondissement de La Côte, ainsi libellé (V) : « V. INSTITUE un mandat de surveillance au sens de l'art. 307 CC en faveur de l'enfant [...] pour veiller à l'évolution d' [...], en particulier au niveau de l'école et sur le plan pédopsychiatrique », a maintenu pour le surplus le jugement de divorce rendu le 16 avril 2018 par le Tribunal civil de l'arrondissement de La Côte tel que modifié par l'arrêt du 19 septembre 2018 de la Cour d'appel civile (VI), a dit que les frais judiciaires de la procédure, arrêtés à 4'164 fr., étaient laissés à la charge de l'Etat par 2'082 fr. pour L.________, et par 2'082 fr. pour A.________ (VII), a arrêté l'indemnité d'office de Me Damien Oppliger, conseil du demandeur, à 9'093 fr. 85, débours et TVA inclus (VIII), a dit que les bénéficiaires de l'assistance judiciaire étaient tenus au remboursement des frais judiciaires et/ou de l'indemnité du conseil d'office mis provisoirement à la charge de l'Etat, dès qu'ils seraient en mesure de le faire (art. 123 CPC [Code de procédure civile du 19 décembre 2008 ; RS 272]) (IX), a dit qu'il n'était pas alloué de dépens (X) et a rejeté toutes autres ou plus amples conclusions (XI). Ce jugement a été notifié à A.________ le 17 janvier 2023.</w:t>
      </w:r>
    </w:p>
    <w:p>
      <w:r>
        <w:rPr>
          <w:b/>
        </w:rPr>
        <w:t>E. 2</w:t>
      </w:r>
    </w:p>
    <w:p>
      <w:r>
        <w:t>Par acte du 15 février 2023, A.________ (ci-après : l’appelante) a interjeté appel contre le jugement précité. Elle a complété son appel par courriers des 27 février et 8 mars 2023. Elle a requis l’octroi de l’assistance judiciaire pour la procédure d’appel. L.________ (ci-après : l’intimé) n’a pas été invité à déposer une réponse.</w:t>
      </w:r>
    </w:p>
    <w:p>
      <w:r>
        <w:rPr>
          <w:b/>
        </w:rPr>
        <w:t>E. 3.1</w:t>
      </w:r>
    </w:p>
    <w:p>
      <w:r>
        <w:t>La voie de l’appel est ouverte contre les décisions finales de première instance (art. 308 al. 1 let. a CPC) au sens de l’art. 236 CPC, dans</w:t>
      </w:r>
    </w:p>
    <w:p>
      <w:r>
        <w:t>- 4 - les causes patrimoniales dont la valeur litigieuse au dernier état des conclusions devant l’autorité précédente est de 10'000 fr. au moins (art. 308 al. 2 CPC). L’appel doit être introduit dans les trente jours à compter de la notification de la décision motivée ou de la notification postérieure de la motivation (art. 311 al. 1 CPC). Remis à la poste le 15 février 2023, le délai d’appel, expirant le lendemain, a été respecté. En revanche, les écritures complémentaires des 27 février et 8 mars 2023 sont tardives, donc irrecevables.</w:t>
      </w:r>
    </w:p>
    <w:p>
      <w:r>
        <w:rPr>
          <w:b/>
        </w:rPr>
        <w:t>E. 3.2.1.1</w:t>
      </w:r>
    </w:p>
    <w:p>
      <w:r>
        <w:t>Pour être recevable, l’appel doit également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w:t>
      </w:r>
    </w:p>
    <w:p>
      <w:r>
        <w:t>- 5 -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5A_787/2021 du 16 décembre 2022 consid. 4.3.1).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 saurait constituer une violation du droit d'être entendu ou de l'interdiction du formalisme excessif (ATF 134 II 244 consid. 2.4.2 et les réf. citées ; TF 5A_577/2020 précité consid. 6 ; sur le tout : TF 5A_779/2021, 5A_787/2021 du 16 décembre 2022 consid. 4.3.1).</w:t>
      </w:r>
    </w:p>
    <w:p>
      <w:r>
        <w:rPr>
          <w:b/>
        </w:rPr>
        <w:t>E. 3.2.1.2</w:t>
      </w:r>
    </w:p>
    <w:p>
      <w:r>
        <w:t>En outre, nonobstant le silence de la loi sur ce point,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w:t>
      </w:r>
    </w:p>
    <w:p>
      <w:r>
        <w:t>- 6 - 5A_65/2022 du 16 janvier 2023 consid. 3.3.1 ; TF 5A_164/2019 du 20 mai 2020, non publié in ATF 146 III 203 ; TF 5A_3/2019 du 18 février 2019 consid. 3). Si nécessaire et à l'instar de toute déclaration en procédure, les conclusions doivent être interprétées de bonne foi, en particulier sur la base de la motivation qui les accompagne (ATF 137 III 617 consid. 6.2 ;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 ; TF 5A_164/2019 précité consid. 4.3).</w:t>
      </w:r>
    </w:p>
    <w:p>
      <w:r>
        <w:rPr>
          <w:b/>
        </w:rPr>
        <w:t>E. 3.2.1.3</w:t>
      </w:r>
    </w:p>
    <w:p>
      <w:r>
        <w:t>Il ne saurait être remédié à des conclusions déficientes par la fixation d'un délai de l’art. 132 CPC, un tel vice n'étant pas d'ordre purement formel et affectant l'appel de façon irréparable (ATF 137 III 617 consid. 6.4, JdT 2014 Il 187 ; TF 5A_65/2022 du 16 janvier 2023 consid. 3.5.1 ; TF 4A_659/2011 du 7 décembre 2011 consid. 5 in SJ 2012 I 31 ; Jeandin, CR-CPC, n. 5 ad art. 311 CPC).</w:t>
      </w:r>
    </w:p>
    <w:p>
      <w:r>
        <w:rPr>
          <w:b/>
        </w:rPr>
        <w:t>E. 3.2.2.1</w:t>
      </w:r>
    </w:p>
    <w:p>
      <w:r>
        <w:t>En l’espèce, l’acte d’appel est rédigé dans un français approximatif et l’argumentation ne suit aucune logique, ce qui le rend peu compréhensible. En outre, l’appelante semble revenir sur la situation financière des parties, la garde alternée et son propre suivi psychothérapeutique, mais se limite à exprimer son point de vue, sans se référer au jugement et sans expliquer en quoi son récit serait susceptible de modifier le jugement attaqué. Partant, même en se montrant moins strict en présence d’une appelante qui n’est pas assistée d’un mandataire professionnel, il faut admettre que l’acte d’appel ne contient pas de motivation suffisante.</w:t>
      </w:r>
    </w:p>
    <w:p>
      <w:r>
        <w:t>- 7 -</w:t>
      </w:r>
    </w:p>
    <w:p>
      <w:r>
        <w:rPr>
          <w:b/>
        </w:rPr>
        <w:t>E. 3.2.2.2</w:t>
      </w:r>
    </w:p>
    <w:p>
      <w:r>
        <w:t>Par ailleurs, l’appelante ne prend pas de conclusions formelles. Même sous les titres « Je conclus à ce que : » et « Mes demandes au tribunal : », l’appelante ne clarifie pas quels points du dispositif elle conteste et dans quelle mesure elle les conteste. En ce qui concerne la contribution d’entretien due par l’intimé en faveur de son fils, on trouve toutefois dans son argumentation deux éléments qui s’apparentent à des conclusions, soit une demande « que le calcul de la pension soit recalculé conformément à l’offre de [l’intimé] du 28 novembre 2020 » (p. 1 de l’appel), puis la « suggestion » que l’intimé soit « encore capable de payer entre 2'000 fr. et 1'650 fr. de pension » (p. 6 de l’appel). Ces conclusions pourraient à la limite être recevables, mais le défaut de motivation subsiste. Enfin, on discerne encore dans certains passages des éléments qui pourraient laisser croire qu’il s’agit de conclusions, mais leurs formulations incompréhensibles les rendent de toute manière irrecevables. Il en va notamment de la phrase suivante, sous le titre « Psychiatre traitant » : « Je demande fortement de consulter un psychiatre pour la condition de garde soit supprimée ». En définitive, sous l’angle des conclusions, l’acte d’appel ne remplit pour l’essentiel pas non plus les conditions minimales fixées par la jurisprudence.</w:t>
      </w:r>
    </w:p>
    <w:p>
      <w:r>
        <w:rPr>
          <w:b/>
        </w:rPr>
        <w:t>E. 3.2.3</w:t>
      </w:r>
    </w:p>
    <w:p>
      <w:r>
        <w:t>Partant, faute de conclusions et de motivation suffisante, ce qui constitue deux vices irréparables, il ne peut être entré en matière sur cet appel.</w:t>
      </w:r>
    </w:p>
    <w:p>
      <w:r>
        <w:rPr>
          <w:b/>
        </w:rPr>
        <w:t>E. 4</w:t>
      </w:r>
    </w:p>
    <w:p>
      <w:r>
        <w:t>Il s’ensuit que l’appel doit être déclaré irrecevable selon l’art. 312 al. 1 in fine CPC. Il ne sera pas perçu de frais judiciaires de deuxième instance (art. 11 TFJC [tarif des frais judiciaires civils du 28 septembre 2010 ; BLV 270.11.5]). L’intimé n’ayant pas été invité à se déterminer, il n’y a pas lieu à l’allocation de dépens.</w:t>
      </w:r>
    </w:p>
    <w:p>
      <w:r>
        <w:t>- 8 - La requête d’assistance judiciaire est sans objet, l’appelante n’étant pas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