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TD20.015024 vom 7. November 2024</w:t>
      </w:r>
    </w:p>
    <w:p>
      <w:r>
        <w:t>VD Tribunal cantonal, 2024-11-07, FR</w:t>
      </w:r>
    </w:p>
    <w:p>
      <w:r>
        <w:rPr>
          <w:b/>
        </w:rPr>
        <w:t xml:space="preserve">Quelle: </w:t>
      </w:r>
      <w:r>
        <w:t>https://mcp.opencaselaw.ch/entscheid/vd_gerichte_TD20.015024</w:t>
      </w:r>
    </w:p>
    <w:p>
      <w:r>
        <w:t>FR: VD_GERICHTE TD20.015024 du 7 novembre 2024</w:t>
      </w:r>
    </w:p>
    <w:p>
      <w:r>
        <w:t>IT: VD_GERICHTE TD20.015024 del 7 novembre 2024</w:t>
      </w:r>
    </w:p>
    <w:p>
      <w:pPr>
        <w:pStyle w:val="Heading2"/>
      </w:pPr>
      <w:r>
        <w:t>Erwägungen</w:t>
      </w:r>
    </w:p>
    <w:p>
      <w:r>
        <w:rPr>
          <w:b/>
        </w:rPr>
        <w:t>E. 27</w:t>
      </w:r>
    </w:p>
    <w:p>
      <w:r>
        <w:t>février 2023). Or, l’art. 317 CPC s’applique, dès lors que seule la contribution d’entretien après divorce est litigieuse, et l’appelante n’allègue aucunement que les conditions de cette disposition seraient remplies. Elles sont par conséquent irrecevables. 2.4 2.4.1 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L'appelant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w:t>
      </w:r>
    </w:p>
    <w:p>
      <w:r>
        <w:t>- 21 -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Il n’appartient pas à la juridiction d’appel de comparer l’état de fait présenté en appel avec celui du jugement pour y déceler les éventuelles modifications apportées et en déduire les critiques de l’appelant (CACI 18 octobre 2023/423 consid. 3.2 ; CACI 6 mars 2023/108 consid. 4.1 ; CACI 8 décembre 2022/594 consid. 4.1). 2.4.2 En pages 6 à 8 de son appel, l’appelante procède à un « rappel des faits », sans former de grief à cet égard, de sorte que cette partie est irrecevable et il n’en sera pas tenu compte. 2.4.3 S’agissant des conclusions, la première d’entre-elles a trait à la période jusqu’au 31 août 2024, et porte sur un montant de 1'410 fr., soit le même que celui alloué par les juges de première instance. Dite conclusion est par conséquent irrecevable, dès lors qu’elle ne tend pas à la réforme du jugement entrepris. 3. 3.1 L’appelante conteste le chiffre IV du jugement relatif à la contribution d’entretien après divorce en sa faveur. Elle fait valoir que la durée de la pension, limitée à sa retraite, est erronée, de même que son montant. 3.2 3.2.1 Aux termes de l'art. 125 al. 1 CC (Code civil suisse du 10 décembre 1907 ; RS 210), si l'on ne peut raisonnablement attendre d'un époux qu'il pourvoie lui-même à son entretien convenable, y compris à la</w:t>
      </w:r>
    </w:p>
    <w:p>
      <w:r>
        <w:t>- 22 - constitution d'une prévoyance vieillesse appropriée, son conjoint lui doit une contribution équitable. L'entretien convenable doit être déterminé après avoir constaté le niveau de vie des époux pendant le mariage (respectivement durant la séparation si celle-ci a duré dix ans environ), lequel constitue la limite supérieure de l'entretien convenable (ATF 141 III 465 consid. 3.1 ; ATF 137 III 102 consid. 4.2.1.1 ; TF 5A_778/2018 du 23 août 2019 consid. 4.4, non publié aux ATF 145 III 474). Le niveau de vie déterminant est le dernier mené ensemble par les époux, auquel s'ajoutent les dépenses supplémentaires qu'entraîne l'existence de deux ménages séparés (ATF 135 III 158 consid. 4.3 ; ATF 134 III 577 consid. 8 ; ATF 134 III 145 consid. 4 ; TF 5A_778/2018 précité consid. 4.4 ; TF 5A_97/2017 du 23 août 2017 consid. 14.1).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 TF 5A_641/2019 du 30 juin 2020 consid. 4.1). 3.2.2 Pour fixer la durée de la contribution d'entretien, le juge doit tenir compte de l'ensemble des critères énumérés de façon non exhaustive à l'art. 125 al. 2 CC (ATF 132 III 598 consid. 9.1 ; TF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 TF 5A_769/2016 du 21 février 2017 consid. 5.2). Il n'est toutefois pas exclu d'allouer une rente sans limitation de durée (ATF 141 III 465 consid. 3.2.1 ; ATF 132 III 593 consid. 7.2), en particulier lorsque l'amélioration de la situation financière du créancier n'est pas envisageable et que les moyens</w:t>
      </w:r>
    </w:p>
    <w:p>
      <w:r>
        <w:t>- 23 - du débiteur le permettent (TF 5A_125/2019 du 9 septembre 2019 consid. 6.3.1 ; TF 5A_113/2015 du 3 juillet 2015 consid. 6.2.1). On ne saurait déterminer la durée de la pension en fonction de la seule durée du mariage (ATF 109 II 286 consid. 5b ; TF 5A_11/2010 du 18 mars 2011 consid. 6.1) – ce critère devant être pris en compte au même titre que les autres critères mentionnés à l'art. 125 al. 2 CC – et le débirentier peut être condamné à contribuer à l'entretien de son ex- conjoint pour une durée supérieure à celle du mariage (TF 5A_1008/2017 du 7 mars 2018 consid. 4.3 ; TF 5A_800/2016 du 18 août 2017 consid. 7.5). Le revenu de la fortune est pris en considération au même titre que le revenu de l'activité lucrative et, lorsque la fortune ne produit aucun ou qu'un faible rendement, il peut être tenu compte d'un revenu hypothétique (cf. ATF 117 II 16 consid. lb ; Sutter/Freiburghaus, Kommentar zum neuen Scheidungsrecht, Zurich 1999, n. 50 ss ad art. 125 CC). Lorsque les revenus du travail des époux suffisent à leur entretien, la substance de la fortune n'est normalement pas prise en considération. Mais, en soi, rien ne s'y oppose (Sutter/Freiburghaus, op. cit., n. 54 ad art. 125 CC), la loi elle-même plaçant formellement les deux critères sur un pied d'égalité (art. 125 al. 2 ch. 5 CC). Ainsi, pour la fixation de l'entretien du conjoint après la retraite, la jurisprudence a déjà admis que, suivant la fonction et la composition de sa fortune, on peut attendre du débiteur d'aliments – comme du créancier – qu'il en entame la substance; en particulier, lorsqu'elle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5A_592/2016 du 8 mars 2017 consid. 4.3.3 ; TF 5A_136/2016 du 12 septembre 2016 consid. 3). 3.2.4 En procédure de divorce, il appartient à l'époux qui prétend que la situation financière de l'un des conjoints se modifiera à une date</w:t>
      </w:r>
    </w:p>
    <w:p>
      <w:r>
        <w:t>- 24 - déterminée d'introduire ce fait en procédure au moyen d'un allégué recevable. Faute d'allégués, la situation financière d'un époux après sa retraite n'est pas litigieuse et n'est pas non plus l'objet de la preuve. Le tribunal ne peut pas administrer de preuves d'office à ce sujet (TF 5A_202/2022 du 24 mai 2023 consid. 3.2). 3.3 Le jugement entrepris rappelle tout d'abord que la maxime des débats s'applique aux contributions d'entretien après divorce. Les juges exposent ensuite qu'il ne fait pas de doute qu'on est en présence d'une « lebensprägende Ehe », que l’appelante n'a pas travaillé et s'est occupée des quatre enfants du couple, dont trois présentaient des troubles nécessitant une prise en charge importante (syndrome d’Asperger et autres), et que la séparation était intervenue après 18 ans de vie commune. Ils ont retenu que le mariage avait certes eu un impact décisif sur la vie des parties, mais que cette union n’avait pas pour autant irrévocablement changé le cours de la vie de l’appelante s'agissant de ses facultés à demeurer financièrement autonome (pp. 107 ss jugement). En particulier, cela faisait à tout le moins depuis le mois de février 2018 qu’elle savait qu'elle devait se réinsérer dans le monde professionnel. En effet, au stade des mesures protectrices de l’union conjugale, un revenu hypothétique lui avait été imputé à hauteur de 950 fr., avec un délai d'adaptation au premier septembre 2018. Dans une ordonnance ultérieure du 22 décembre 2021, la présidente a relevé qu'aucune recherche d'emploi n'avait été effectuée et a maintenu le revenu hypothétique précédemment fixé. Cette ordonnance de mesures provisionnelles n'a pas été contestée. Dans le jugement entrepris, les premiers juges ont constaté que ces deux ordonnances n'avaient toutefois eu aucun effet sur l’appelante, celle-ci ayant confirmé à l'audience de jugement de divorce n'avoir aucune preuve de recherche d'emploi et soutenant avoir des problèmes de santé, sans aucunement prouver cette thèse. Or, compte tenu du fait que l’enfant cadette avait 6 ans révolus et eu égard au temps écoulé depuis 2018, le tribunal a estimé qu’on pouvait exiger de l’appelante qu'elle travaille à 80 ou 100 %, tout en gardant à l'esprit qu'elle avait désormais 61 ans et n'avait que peu</w:t>
      </w:r>
    </w:p>
    <w:p>
      <w:r>
        <w:t>- 25 - d'expérience professionnelle. Il fallait ainsi renoncer à lui imputer un taux supérieur à celui retenu de 33.3 %, correspondant à un revenu de 950 fr. par mois. Toutefois, la passivité de l’appelante ne devait pas péjorer de manière disproportionnée la situation de l’intimé et il n'était ainsi pas approprié de prétendre à une solidarité de l’époux envers sa femme jusqu'à sa retraite, alors même que l’appelante n'avait fourni aucun effort pour gagner une forme d'autonomie financière, même partielle, depuis février 2018. Ainsi, l’intimé était certes tenu de contribuer à l'entretien de l’appelante, mais la durée de cette obligation devait être limitée en équité à l’âge de la retraite de celle-ci. Ensuite, les premiers juges ont relevé que le niveau de vie à la fin de la vie commune n'avait pas été allégué. Cela étant, lors de leur séparation, la situation financière était serrée, l'entretien de la famille étant assuré uniquement par les revenus de l’intimé. L’appelante toucherait une rente AVS à la retraite, dont le montant n'était ni connu ni établi puisqu'il n'avait pas du tout été allégué. Le montant de la LPP et la moitié de la valeur de rachat des comptes 3ème pilier étaient en revanche connus. Elle avait aussi hérité de trois biens immobiliers au [...] avec ses sœurs et sa mère, qui allaient lui procurer un capital ou un revenu locatif. Elle allait toucher également une partie du produit de la vente de l'immeuble des parties. Au vu de ces éléments, il a été retenu que l’appelante allait disposer de couvertures financières propres à l'avenir. En définitive, compte tenu de ces circonstances, les premiers juges ont arrêté l'obligation d'entretien à l'âge de la retraite de l’appelante, ce qui était justifié par l'application des principes de solidarité s’agissant de l’époux, et d'autonomie pour l'épouse, par le train de vie mené durant et après la vie commune et par le fait que l’appelante disposera, dès sa retraite, de sources de revenus propres adéquats. 3.4</w:t>
      </w:r>
    </w:p>
    <w:p>
      <w:r>
        <w:t>- 26 - 3.4.1 Dans un second grief qu'il convient d'examiner en premier lieu, l'appelante reproche aux premiers juges d'avoir retenu dans son budget un loyer de 1'500 fr. dès le 1er septembre 2024. Elle concède qu'il était justifié de retenir un loyer hypothétique dès cette date, dès lors que la maison familiale allait être vendue, mais elle considère que le loyer imputé de 1'500 fr. est sous-évalué. Elle estime que c'est un montant de 1'750 fr. qui devait être retenu, et se prévaut d'une pièce nouvelle (extrait site Internet immoscout.ch) – irrecevable – qui démontrerait que les loyers pour un logement de 3,5 pièces à [...] s’élèvent au minimum à 1'750 fr. par mois. Elle plaide qu'elle a besoin d'un logement de 3,5 pièces et qu'au demeurant, il a été retenu pour l’intimé des frais de logement de 1’775 fr. par mois. Sur la base d'un loyer de 1’750 fr., elle estime que la contribution qui lui est due devrait se monter à 2'145 fr. depuis le 1er septembre 2024 et jusqu'à ce qu'elle atteigne l'âge de la retraite. A cet égard, les premiers juges ont retenu le loyer effectif chez l’intimé (1’750 fr.), et pour le loyer de l'appelante, ils ont estimé que le loyer hypothétique pouvait être arrêté à 1’500 fr charges comprises, ce qui correspondait à un loyer de 3 pièces dans la région de la [...] (www.immobilier.ch). 3.4.2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(TF 5A_679/2019 du 5 juillet 2021 consid. 16.1.1 et les réf. citées). Selon la jurisprudence, les frais de logement à prendre en compte sont le coût d'un appartement raisonnable, eu égard aux prix moyens de location d'un objet de même taille dans la localité et aux moyens de l'intéressé (TF 5C.240/2002 du 31 mars 2003 consid. 4.2 ; Stoudmann, Le divorce en pratique, Lausanne 2023, 2ème éd., p. 164 et les réf. citées ; Juge délégué CACI 27 septembre 2021/469). Il est admissible, pour fixer le loyer hypothétique, de se fonder sur les statistiques vaudoises et, lorsque la situation financière des parties est serrée, de s'en tenir à la fourchette</w:t>
      </w:r>
    </w:p>
    <w:p>
      <w:r>
        <w:t>- 27 - basse des loyers (Juge unique CACI 26 janvier 2021/40). En outre, il n'y a pas lieu de retenir un montant semblable de loyer pour les deux époux au nom de l'égalité de traitement, la situation effective devant en principe prévaloir (TF 5A_433/2013 du 10 décembre 2013 consid. 4.3). 3.4.3 En l'espèce, s'agissant de la question du loyer admissible, les premiers juges se sont référés dans le jugement au site Internet « immobilier.ch ». Si l'on introduit une recherche avec le mot-clé « [...] » pour un logement de 3.5 pièces, on constate que les loyers commencent à partir de 1’100 fr. environ. L'appelante, ayant de toute manière produit une pièce irrecevable en appel à l'appui de ce grief, échoue à démontrer que le montant retenu par les premiers juges résulterait d'une constatation inexacte d'un fait ou d'une violation du droit. Quant au fait qu'un loyer légèrement plus élevé a été retenu pour l'intimé, cela n'est d'aucune incidence, le principe d’égalité de traitement n’étant ici pas applicable, comme mentionné plus haut. Ce grief est dès lors infondé, pour autant qu'il soit recevable, considérant qu'il se fonde principalement sur une pièce irrecevable. Dans la mesure où il s’agit du seul poste des charges de l'appelante qui est contesté (cf. point 46 de son appel et budget des charges retenues par le jugement p. 112), le montant de la contribution postérieure au 1er septembre 2024 retenu par les premiers juges, soit 1’700 fr., doit être confirmé. 3.5 3.5.1 L'appelante conteste la durée de l'entretien fixée par les premiers juges et se prévaut d'une violation des art. 125 ss CC. Elle expose que sa situation sera précaire une fois qu'elle aura atteint l'âge de la retraite (p. 10 de l’appel), devant assumer des charges qu'elle évalue à 3'196 fr. 25 (soit les charges retenues par le jugement, à l’exception du loyer modifié, comme elle le plaide cf. consid. 3.4.3 supra), tout en étant à la retraite. Elle expose que sa rente AVS « sera faible » et</w:t>
      </w:r>
    </w:p>
    <w:p>
      <w:r>
        <w:t>- 28 - estime qu’on ne peut lui reprocher de n'avoir allégué aucun montant à ce sujet car l’intimé était « le seul à avoir cotisé ». Elle l'évalue donc désormais à 1’225 fr. par mois et se fonde sur une nouvelle pièce pour établir sa rente LPP à 883 fr. par mois, soit un revenu total de 2’180 fr. par mois. Face à une situation qui serait ainsi déficitaire, il conviendrait que l’intimé assume ce déficit et partage son disponible, afin qu'elle puisse prétendre au même niveau de vie que lui. Se livrant ensuite à un calcul du budget de l'intimé, elle arrive à la conclusion qu'il faudrait partager l'excédent de celui-ci par deux, de sorte qu'au final c'est un montant arrondi à 2'000 fr. par mois qui lui serait dû. S'agissant de la durée de la contribution plus particulièrement, elle estime que le raisonnement opéré par les premiers juges ne se fonde ni sur la loi ni sur la jurisprudence. Même si elle avait trouvé un emploi, cela n'aurait en rien influencé sa situation après retraite. Elle estime que les éventuels revenus provenant des biens immobiliers au [...] ne représenteront presque rien. Quant au 3ème pilier, il se montera au plus à 36’491 fr. 55, ce qui serait tout au plus qu’une « réserve de secours ». 3.5.2 Tout d'abord, sous le grief de la durée de la contribution, l’appelante plaide en réalité aussi un « nouveau palier », puisque dans ses conclusions, elle conclut à ce qu'une contribution de 2’000 fr. lui soit allouée dès qu'elle aura atteint l'âge de la retraite et ce jusqu'à l'âge de la retraite de l’intimé, de 10 ans son cadet. Dans l'examen du budget qu'elle allègue pour cette période, les charges sont identiques à ce qui a été retenu par les premiers juges à l'exception du loyer (cf. consid. 3.4.3 supra, soit 3'195 fr. 25 selon elle), mais elle procède ensuite à une nouvelle estimation de ses revenus après retraite (notamment rente AVS et LPP), ce qui constitue un fait nouveau. Or, la prétendue impossibilité d’estimer sa rente AVS au préalable au motif que seul l’intimé cotisait ne remplit manifestement pas les conditions de l'art. 317 CPC, de sorte que ces nouvelles allégations sont irrecevables. Il conviendra dès lors de s'en tenir au montant de 1'700 fr. par mois retenu</w:t>
      </w:r>
    </w:p>
    <w:p>
      <w:r>
        <w:t>- 29 - par les premiers juges à titre de contribution postérieure au 1er septembre 2024, puisque le grief relatif au loyer a été rejeté. 3.5.3 Reste à examiner la question de la durée de cette contribution. A cet égard, l'appelante estime que la rente doit lui être versée jusqu'à la retraite de l’intimé et non pas seulement jusqu'à ce qu'elle-même ait atteint l’âge de la retraite. Tout d'abord, son grief consistant à affirmer que le raisonnement des premiers juges ne repose sur « rien » est infondé, ceux- ci ayant expressément exposé les raisons ayant conduit à ce résultat. Ensuite, il faut aussi relever que les critères de l'art. 125 al. 1 CC ne sont pas exhaustifs, comme le relève d'ailleurs systématiquement le Tribunal fédéral (ATF 147 III 249 consid. 3.4.2 et les réf. citées). Cela étant, il faut admettre qu'en règle générale, la durée de la contribution est fixée jusqu'à ce que le débirentier ait atteint l'âge de la retraite, voire sans limite. Il s'agit dès lors d'examiner si le tribunal pouvait s'écarter de cette règle, en équité, sans violer l'art. 125 al. 2 CC. Les premiers juges ont relevé que la situation financière après retraite de l’appelante n'avait été ni alléguée ni établie, mais qu’on savait qu'elle toucherait une rente AVS, un avoir LPP de 155'917 fr. 35, et au minimum la somme de 33'491 fr. 55, correspondant à la moitié de la valeur de rachat du 3ème pilier. Elle avait aussi hérité de trois biens immobiliers [...] avec ses sœurs et sa mère, qui allaient lui procurer un capital ou un revenu locatif, et allait bénéficier également d’une partie du produit de la vente de l'immeuble des parties. Au vu de ces éléments, le tribunal a estimé que l’appelante disposait de couvertures financières propres à l'avenir. En l’absence d’éléments plus concrets sur la situation financière après retraite des parties, qui n’avait pas été alléguée et qui n’avait pas à être établie d’office, le tribunal a finalement statué en équité sur la durée de la contribution d’entretien. A ce titre, les premiers juges ont estimé que l’appelante ne pouvait être « récompensée » et qu’on ne pouvait exiger une solidarité de l’intimé jusqu'à la retraite de celui-ci en</w:t>
      </w:r>
    </w:p>
    <w:p>
      <w:r>
        <w:t>- 30 - raison de la passivité dont l’appelante avait fait preuve au cours des dernières années pour regagner une certaine autonomie financière. En l’espèce, on ne peut que partager ce constat, lequel n’aura, a d'ailleurs déjà eu, d’impact que sur la question de la contribution de l’appelante jusqu'à sa retraite. On saisit mal en revanche l'influence de ce critère sur la situation après retraite de l’appelante. En d'autres termes, même si celle-ci avait effectivement entrepris ce qui était attendu d'elle et avait trouvé un emploi depuis 2018 (pour rappel, un revenu hypothétique lui a été imputé), cela ne changerait rien à son autonomie financière après retraite, si ce n'est peut-être qu'elle aurait cotisé aux assurances sociales pendant cette période, ce qui n’aurait de toute manière constitué qu’un faible montant. En conséquence, il apparaît que ce critère n'était en réalité pas pertinent. Compte tenu du consid. 3.2.4 ci-dessus, il apparaît que l’intimé n’a pas allégué ou établi, en première instance, que la situation de l’appelante allait évoluer et lui permettre d’être indépendante financièrement après sa retraite. Certes, il plaidait en première instance qu’aucune contribution ne devait lui être allouée après le divorce, mais n’a ni plaidé ni établi, au moins à titre subsidiaire, qu’il n’était plus nécessaire de verser de contribution à l’appelante, à tout le moins après la retraite de celle-ci, de sorte que le grief de l’appelante doit être admis. La contribution d’entretien devra donc être versée jusqu'à la retraite de l'intimé. 3.6 L’appelante a également conclu à ce que le retard de paiement de la contribution d’entretien soit sanctionné par un intérêt à 5 %. Il n’y a pas lieu de prévoir expressément celui-ci dans le jugement, dite conclusion n’étant pas motivée, et les dispositions usuelles en la matière pouvant être appliquées. 3.7 Enfin, l’appelante a conclu à l’indexation de la contribution d’entretien, sans aucunement motiver son appel sur ce point. Par conséquent, il n’y sera pas donné suite.</w:t>
      </w:r>
    </w:p>
    <w:p>
      <w:r>
        <w:t>- 31 - Appel joint de A.L.________ 4. L’intimé a déposé un appel joint le 15 avril 2024, dans le délai de réponse qui lui avait été imparti. Aux termes de l’art. 312 CPC, l’instance d’appel notifie l’appel à la partie adverse pour qu’elle se détermine par écrit, sauf si l’appel est manifestement irrecevable ou infondé, dans un délai de 30 jours. Celle-ci peut former un appel joint dans la réponse (art. 313 al. 1 CPC). En l’espèce, l’appel joint de l’intimé a été déposé en temps utile et respecte pour le surplus les conditions de recevabilité (cf. consid. 1 supra), de sorte qu’il est recevable. 5. L’intimé a déposé avec son appel joint un bordereau de 8 pièces, puis en a produit encore une nouvelle le 17 septembre 2024, relative à un courrier daté du 6 septembre 2024. Les pièces 100 et 101 sont des pièces de forme, qui sont recevables. Les pièces 102, 103 et 107 figurent déjà au dossier. En revanche, les pièces 104 (décompte de l’Office des poursuites du 15 mars 2024), 105 (certificat médical du 9 avril 2024) et 106 (extraits de divers sites Internet, 5 avril 2024) et le courrier du 6 septembre 2024 sont postérieurs au jugement, mais relatent des faits antérieurs et ou constituent des moyens de preuve nouveaux (existence de poursuites à l’encontre de l’intimé et calculs y relatifs, l’état de santé de l’intimé, loyers usuels), ce qui en fait des pseudo-novas. Or, l’intimé n’invoque aucunement que les conditions de l’art. 317 CPC seraient réalisées (cf. consid. 2.3 supra), de sorte que ces pièces sont irrecevables.</w:t>
      </w:r>
    </w:p>
    <w:p>
      <w:r>
        <w:t>- 32 - 6. L’intimé soutient qu’il ne doit aucune contribution d’entretien après divorce en faveur de l’appelante. En substance, il allègue tout d'abord de manière générale que celle-ci disposerait d’une capacité financière autonome après le divorce et considère qu'elle pourrait travailler à temps plein. Il procède ainsi à des affirmations sans aucune motivation substantielle. Il conteste ensuite certains postes des budgets des parties tels que retenus en première instance. 6.1 Il soutient qu’un montant de 150 fr. doit être retenu dans ses charges, à titre de droit de visite sur sa fille U.________, ainsi qu'un poste de 500 fr. relatif à ses impôts. Les premiers juges ont considéré à cet égard (jugement, p. 112) que ces postes ne pouvaient pas être retenus dans ses charges compte tenu des moyens financiers à disposition (minimum vital du droit des poursuites). L’intimé n'expose aucunement en quoi ce raisonnement serait erroné, de sorte que ce grief doit de toute manière être rejeté, à supposer recevable. L’intimé soutient également qu'il a d'importantes dettes consécutives à la séparation (pièce 104 nouvelle), de sorte qu'il devrait assainir sa propre situation économique après divorce et qu’en réalité c'est lui qui présenterait un manco dans son budget. Il explique aussi avoir une santé fragile (pièce 105 nouvelle), de sorte que cela pourrait l'amener à réduire son taux d'activité. Ces faits et les preuves y relatives sont nouveaux, et partant irrecevables (cf. consid. 5 supra). 6.2 L’intimé conteste ensuite certains postes du budget de l’appelante. Il fait valoir que la base mensuelle de celle-ci devrait être de 850 fr. et non de 1’350 fr., au motif qu'elle vit avec la fille majeure J.________, « qui exerce sans doute une activité professionnelle », ainsi qu'avec E.________, qui perçoit des revenus mensuels. Les premiers juges ont retenu à cet égard (jugement, p. 113) qu'il n'y avait pas lieu de retenir une communauté de toit et de table, dès</w:t>
      </w:r>
    </w:p>
    <w:p>
      <w:r>
        <w:t>- 33 - lors que l’appelante entretenait les enfants B.L.________a, mineure, et J.________, majeure, qui ne participaient pas aux frais. E.________ vivait également avec sa mère et participait aux frais de nourriture par 300 fr. par mois, mais cette seule participation ne suffisait pas pour retenir que l’appelante réalisait des économies sur des coûts communs. En l'espèce, l’intimé se prévaut pour la première fois en appel d'un éventuel revenu de J.________, qui devrait être pris en compte. Manifestement, l'affirmation selon laquelle elle « exerce sans doute une activité professionnelle » n'est pas suffisante et ce point aurait pu être allégué – et partant instruit – en première instance, ce qu'il n'a pas fait. Ensuite, s'agissant d'E.________, il faut rappeler qu'il souffre d'un syndrome d'Asperger et que c'est l’appelante qui s'en occupe entièrement. De toute manière, l’intimé n'indique pas en quoi le raisonnement des premiers juges, relatif à la faible participation d'E.________ et au fait que l’appelante ne réalise aucune économie de ce fait, serait erroné. C'est donc bien à juste titre que le tribunal n'a pas retenu de communauté de toit et de table et a fixé correctement la base mensuelle. 6.3 Ensuite, l’intimé considère que s'agissant du loyer hypothétique retenu pour l’appelante, il s'élèverait entre 1’400 fr. et 1’500 fr. par mois (pièce 106 nouvelle). Fondé sur une pièce irrecevable, ce grief l’est également. 6.4 Par ailleurs, l’intimé soutient que l'appelante devrait demander des subsides pour son assurance-maladie et qu’il ne faudrait pas tenir compte de sa charge fiscale, ni des frais de télécommunication. En l'espèce, ce grief est sans fondement, puisque ni les télécommunications ni les impôts n'ont été pris en compte dans le budget de l’appelante (jugement, p. 113). 6.5 Ensuite, l'appelant semble dire qu'un revenu hypothétique de 100 % aurait dû être retenu pour l’appelante, en lieu et place des 33.3 % retenus. Il se contente toutefois de relever la passivité dont a fait preuve</w:t>
      </w:r>
    </w:p>
    <w:p>
      <w:r>
        <w:t>- 34 - cette dernière, sans exposer en quoi le raisonnement des premiers juges serait erroné (jugement, p. 107-108 et 112). Faute de motivation, ce grief est irrecevable. 6.6 Enfin, l’intimé estime que c'est à tort que les premiers juges n’ont pas retenu l'existence de biens immobiliers au [...] et que la prétendue absence de revenus de ces biens immobiliers ne devrait pas l'impacter. Comme déjà relevé, la question de la situation financière exacte des époux après divorce n'a pas fait l'objet d'une instruction précise, les parties n'ayant pas formé d'allégué ni formulé de modes de preuve à cet égard. Toujours est-il qu'à ce stade, on ne voit pas ce qui pourrait être reproché aux premiers juges qui ont relevé (jugement, p. 109) que l’appelante avait hérité avec ses sœurs et sa mère de trois biens immobiliers qui lui procureraient soit un capital, soit un revenu locatif. Si l’intimé entendait se prévaloir d'un changement de la situation financière de l’appelante en raison de ce revenu ou de cette fortune supplémentaire, il lui appartenait de solliciter des mesures d'instruction à ce sujet, ce qu'il n'a pas fait. Partant, ce grief sera également rejeté. 7. 7.1 En définitive, l’appel de l’appelante doit être partiellement admis, en ce que la contribution d’entretien en sa faveur est due jusqu’à ce que l’intimé ait atteint l’âge de la retraite. L’appel joint, manifestement infondé, est rejeté. 7.2 7.2.1 Conformément à l'art. 318 al. 3 CPC, si la Cour d'appel réforme le jugement, elle statue à nouveau sur les frais de première instance. Dans le cas présent, où le jugement est partiellement réformé, il y a lieu de répartir à nouveau les frais judiciaires et les dépens de première instance A teneur de l’art. 106 al. 1 CPC, les frais – soit les frais judiciaires et les dépens (art. 95 al. 1 CPC) – sont mis à la charge de la partie succombante. Lorsqu’aucune des parties n’obtient entièrement gain</w:t>
      </w:r>
    </w:p>
    <w:p>
      <w:r>
        <w:t>- 35 - de cause, les frais sont répartis selon le sort de la cause (art. 106 al. 2 CPC). Le tribunal peut s’écarter des règles générales et répartir les frais selon sa libre appréciation notamment lorsque le litige relève du droit de la famille (art. 107 al. 1 let. c CPC). 7.2.2 Les frais judiciaires de première instance ont été arrêtés à 9'023 fr. 35, ce qu’il y a lieu de confirmer. Ce montant a été réparti selon la convention conclue entre les parties sur les aspects sur lesquels un accord a pu être trouvé, et en équité sur la question de la contribution d’entretien en faveur de l’appelante. Aucune des parties n’ayant obtenu entièrement gain de cause sur le montant et son principe, le solde des frais judiciaires a été réparti par moitié entre les parties. Cette répartition doit être confirmée en équité, malgré l’admission partielle de l’appel et la réforme du jugement, dans la mesure où l’appelante n’a obtenu que partiellement gain de cause sur la durée – ayant conclu à une contribution à vie en première instance. 7.3 Les frais judiciaires de deuxième instance seront arrêtés à 2'400 fr., conformément à l’art. 63 al. 2 TFJC (tarif des frais judiciaires civils du 28 septembre 2010 ; BLV 270.11.5), pour l’appel et l’appel joint. Ils seront partiellement mis à la charge de l’intimé, par deux tiers, soit 1'600 fr., dans la mesure où il succombe sur l’appel joint et sur un des deux griefs soulevés dans l’appel (durée de la contribution d’entretien). L’appelante supporte le reste des frais judiciaires, par 800 fr., succombant sur la question du montant de la contribution d’entretien. Les frais judiciaires seront laissés provisoirement à la charge de l’Etat, les parties bénéficiant toutes deux de l’assistance judiciaire. 7.4 7.4.1 Le conseil juridique commis d’office a droit au remboursement de ses débours et à un défraiement équitable (art. 122 al. 1 let. a CPC), qui est fixé en considération de l’importance de la cause, de ses</w:t>
      </w:r>
    </w:p>
    <w:p>
      <w:r>
        <w:t>- 36 -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7.4.2 Me Christian Delaloye, conseil d’office de l’appelante, a produit une liste des opérations, faisant état d’activités dans le dossier à hauteur de 6,43 heures en 2023 et de 8,53 heures en 2024.</w:t>
      </w:r>
    </w:p>
    <w:p>
      <w:r>
        <w:t>- 37 - Le décompte présenté apparaît justifié et peut être admis tel quel. Il s’ensuit qu’au tarif horaire de 180 fr., l’indemnité de Me Christian Delaloye doit être fixée, pour 2023, à 1'157 fr. 40 (6,43 h x 180 fr.), montant auquel s’ajoutent les débours forfaitaires à 2 % (art. 3bis al. 1 RAJ) par 23 fr. 15, et la TVA à 7,7 % sur le tout par 90 fr. 90, soit au total un montant de 1'271 fr. 45. Pour les activités effectuées en 2024, l’indemnité s’élève à 1'693 fr. 60 ([8,53 h x 180 fr. + 2 %] + 8,1 %), débours à 30 fr. 70 et TVA, à 8,1 % sur le tout, inclus. 7.4.3 Me Franck-Olivier Karlen, conseil d’office de l’intimé, a produit une liste des opérations indiquant avoir déployé des activités dans le dossier durant 15 heures et 35 minutes en 2024. En l’espèce, l’entier du temps annoncé ne peut pas être indemnisé. En effet, les activités ayant trait à l’appel joint n’entrent pas dans le cadre de l’accomplissement raisonnable de la tâche du conseil d’office, cet acte étant dénué de chances de succès. Ainsi, il convient de procéder à une estimation du temps utilement consacré à la cause, incluant notamment les déterminations sur l’appel principal et les activités connexes, pour un total de 3 heures et 30 minutes de mandat. L’indemnité de Me Franck-Olivier Karlen doit donc être fixée à 630 fr. (3,5 h x 180 fr.), montant auquel s’ajoutent les débours forfaitaires à 2 % (art. 3bis al. 1 RAJ) par 12 fr. 60., et la TVA à 8,1 % sur le tout par 52 fr. 05, pour un total de 694 fr. 65. 7.5 Les parties obtiennent partiellement gain de cause sur l’appel, à raison de la moitié chacune, étant précisé que l’appelante n’a pas été invitée à se déterminer sur l’appel joint. La charge des dépens de l’appelante peut être estimée à 4'500 fr., en application des art. 3 et 7 TDC (tarif des dépens en matière civile ; BLV 270.11.6). Celle de l’intimé, pour ses déterminations sur l’appel, peut être estimée à 1'000 francs. Eu égard à l’issue de l’appel, l’appelante a</w:t>
      </w:r>
    </w:p>
    <w:p>
      <w:r>
        <w:t>- 38 - droit à des dépens de deuxième instance, à hauteur de 1'750 fr. ([4'500 fr. - 1'000 fr.] : 2), dont l’intimé sera reconnu débiteur. Au vu de l’assistance judiciaire dont bénéficie l’appelante, ces dépens doivent être alloués à Me Christian Delaloye directement, conformément à la jurisprudence (TF 4A_106/2021 du 8 août 2022 consid. 3.4 et les réf. citées). Cela ne modifie toutefois en rien le principe posé par les art. 122 al. 2 CPC et 4 RAJ, selon lesquels l’indemnité n’est versée que s’il est vraisemblable que les dépens alloués ne peuvent pas être obtenus de la partie adverse ou ne pourront l’être. 7.6 Les bénéficiaires de l’assistance judiciaire sont tenus au remboursement de l’indemnité de leur conseil d’office respectif et des frais judiciaires mis à leur charge,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