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TD20.012283 vom 2. März 2026</w:t>
      </w:r>
    </w:p>
    <w:p>
      <w:r>
        <w:t>VD Tribunal cantonal, 2026-03-02, FR</w:t>
      </w:r>
    </w:p>
    <w:p>
      <w:r>
        <w:rPr>
          <w:b/>
        </w:rPr>
        <w:t xml:space="preserve">Quelle: </w:t>
      </w:r>
      <w:r>
        <w:t>https://mcp.opencaselaw.ch/entscheid/vd_gerichte_TD20.012283</w:t>
      </w:r>
    </w:p>
    <w:p>
      <w:r>
        <w:t>FR: VD_GERICHTE TD20.012283 du 2 mars 2026</w:t>
      </w:r>
    </w:p>
    <w:p>
      <w:r>
        <w:t>IT: VD_GERICHTE TD20.012283 del 2 marzo 2026</w:t>
      </w:r>
    </w:p>
    <w:p>
      <w:pPr>
        <w:pStyle w:val="Heading2"/>
      </w:pPr>
      <w:r>
        <w:t>Erwägungen</w:t>
      </w:r>
    </w:p>
    <w:p>
      <w:r>
        <w:rPr>
          <w:b/>
        </w:rPr>
        <w:t>E. 1</w:t>
      </w:r>
    </w:p>
    <w:p>
      <w:r>
        <w:t>Par prononcé du 1er octobre 2021, la présidente a accordé à C.________ le bénéfice de l’assistance judiciaire dans la cause en divorce l’opposant à F.________, avec effet au 13 juillet 2021, avec l’assistance d’un conseil d’office en la personne du recourant.</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cette indemnité entrant dans la notion de « frais » au sens de l'art. 95 CPC (TF 5A_120/2016 du 26 mai 2016 consid. 2.1 ; CREC 1er octobre 2025/231 ; CREC 29 août 2025/189). L'art. 122 al. 1 let. a CPC figure au chapitre qui réglemente l'assistance judiciaire et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déposer un recours contre une telle décision est de dix jours (art. 321 al. 2 CPC ; CREC 16 juin 2025/132 consid. 1.1 ; CREC 27 février 2025/52 consid. 1.1). Dès lors que sa propre situation est affectée, le conseil juridique dispose à titre personnel d’un droit de recours au sujet de la rémunération équitable qui lui est accordée (ATF 131 V 153 consid. 1 ; TF 5D_11/2022 du 25 mars 2022 consid. 1.3).</w:t>
      </w:r>
    </w:p>
    <w:p>
      <w:r>
        <w:rPr>
          <w:b/>
        </w:rPr>
        <w:t>E. 1.2</w:t>
      </w:r>
    </w:p>
    <w:p>
      <w:r>
        <w:t>En l’espèce, le recours, écrit et motivé (art. 321 al. 1 CPC), a été formé en temps utile par une personne disposant d’un intérêt digne de protection (art. 59 al. 2 let. a CPC), de sorte qu’il est recevable.</w:t>
      </w:r>
    </w:p>
    <w:p>
      <w:r>
        <w:rPr>
          <w:b/>
        </w:rPr>
        <w:t>E. 2</w:t>
      </w:r>
    </w:p>
    <w:p>
      <w:r>
        <w:t>Sous l’angle des motifs, le recours est recevable pour violation du droit (art. 320 let. a CPC) et pour constatation manifestement inexacte 14J001</w:t>
      </w:r>
    </w:p>
    <w:p>
      <w:r>
        <w:t>- 4 -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Le recourant se plaint des réductions effectuées par la première juge de la durée des opérations figurant dans sa liste produite le 24 novembre 2025. Il reproche en substance à la présidente d’avoir considéré qu’il convenait de ne tenir compte que d’une durée de 10 minutes pour les courriers et les courriels adressés, alors que le temps consacré à ceux-ci correspondait à leur durée réelle et était nécessaire à l’accomplissement du mandat. Il soutient que le raisonnement de la première juge serait arbitraire et insuffisamment motivé. Le recourant fait en outre valoir que l’élaboration d’un bordereau – qui doit être différenciée selon lui de l’établissement du bordereau – n’est aucunement du travail de secrétariat en tant qu’il concerne le tri des pièces, la détermination des pièces à produire et la pertinence de la production, ainsi que leur libellé.</w:t>
      </w:r>
    </w:p>
    <w:p>
      <w:r>
        <w:rPr>
          <w:b/>
        </w:rPr>
        <w:t>E. 3.2.1</w:t>
      </w:r>
    </w:p>
    <w:p>
      <w:r>
        <w:t>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14J001</w:t>
      </w:r>
    </w:p>
    <w:p>
      <w:r>
        <w:t>- 5 - 5D_118/2021 du 15 octobre 2021 consid. 5.1.1 ; TF 5A_82/2018 du 15 juin 2018 consid. 6.2.1 et les réf. citées).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(TF 5A_81/2025 précité consid. 3.1.2 ; TF 5A_82/2024 du 5 septembre 2024 consid. 3.2.2.2 ; TF 5D_118/2021 du 15 octobre 2021 consid. 5.1.3 et les réf. citées). Le temps indiqué pour la rédaction de mémos ou d'avis de transmission ne peut être pris en compte à titre d'activité déployée par l'avocat, s'agissant de pur travail de secrétariat (CREC 6 novembre 2023/228 ; CREC 11 août 2017/294 ; CREC 3 août 2016/301). Lorsque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(CREC 6 novembre 2023/228 ; CCUR 25 octobre 2017/204). Il est admissible de considérer que les opérations correspondant à l'envoi de courriels au client le même jour qu'un courrier à la partie adverse et/ou au tribunal, toutes comptabilisées de manière forfaitaire à 12 14J001</w:t>
      </w:r>
    </w:p>
    <w:p>
      <w:r>
        <w:t>- 6 - minutes, constituent manifestement des mémos non facturables (CREC 6 novembre 2023 ; CREC 15 août 2022/188). En outre, la confection d'un bordereau de pièces s'assimile à un pur travail de secrétariat faisant partie des frais généraux de l'avocat et n'ayant pas à être indemnisé (CREC 11 mars 2022/71 ; CREC 29 septembre 2020/225). C’est à l’avocat d’office de démontrer que les opérations pour lesquelles il entend être indemnisé étaient justifiées, quitte à fournir une note explicative avec sa note de frais (CREC 6 novembre 2023/228 consid. 3.3.2).</w:t>
      </w:r>
    </w:p>
    <w:p>
      <w:r>
        <w:rPr>
          <w:b/>
        </w:rPr>
        <w:t>E. 3.2.2</w:t>
      </w:r>
    </w:p>
    <w:p>
      <w:r>
        <w:t>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Le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 figurant sur la note d'honoraires (TF 5D_230/2020 du 15 février 2021 consid. 3.7).</w:t>
      </w:r>
    </w:p>
    <w:p>
      <w:r>
        <w:rPr>
          <w:b/>
        </w:rPr>
        <w:t>E. 3.3</w:t>
      </w:r>
    </w:p>
    <w:p>
      <w:r>
        <w:t>La présidente a considéré que le temps usuel d'un courrier ou d'un courriel était de 10 minutes et a réduit la durée consacrée à ces postes de 7 heures et 27 minutes. A l'examen du relevé des opérations, on constate que 80 opérations de cette nature ont été facturées sur une période de près de 2 ans et qu'à de nombreuses reprises, des courriers ou des courriels interviennent le même jour, à la fois au tribunal et à la cliente. Sur le principe, la réduction effectuée par la présidente apparaît ainsi justifiée compte tenu de la multiplicité des envois à la cliente, le nombre n'étant pas justifié par l'avancement de la procédure. Ainsi en va-t-il par exemple des opérations du 25 janvier au 19 avril 2022 qui comportent 9 courriels à la 14J001</w:t>
      </w:r>
    </w:p>
    <w:p>
      <w:r>
        <w:t>- 7 - cliente. En outre, si la cause présentait des difficultés particulières, il appartenait au recourant de les exposer dans la lettre d'accompagnement au relevé des opérations. Ainsi, compte tenu du large pouvoir d'appréciation du juge qui connaît la cause et les opérations nécessaires à l'exécution du mandat d'office, la présidente n'a pas excédé ce pouvoir en retranchant 7 heures et 27 minutes. Quant à la confection de bordereaux de pièces, il s'agit bien d'un travail de secrétariat faisant partie des frais généraux de l'avocat et n'ayant pas à être indemnisé, conformément à la jurisprudence rappelée ci-dessus.</w:t>
      </w:r>
    </w:p>
    <w:p>
      <w:r>
        <w:rPr>
          <w:b/>
        </w:rPr>
        <w:t>E. 4</w:t>
      </w:r>
    </w:p>
    <w:p>
      <w:r>
        <w:t>En définitive, le recours doit être rejeté et la décision confirmée. Vu l’issue du recours, les frais judiciaires de deuxième instance, arrêtés à 200 fr. (art. 69 al. 1 et 70 al. 3 TFJC [tarif des frais judiciaires civils du 28 septembre 2010 ; BLV 270.11.5]), seront mis à la charge du recourant qui succombe (art. 106 al. 1 CPC). 14J001</w:t>
      </w:r>
    </w:p>
    <w:p>
      <w:r>
        <w:t>- 8 - Par ces motifs, la Chambre des recours civile du Tribunal cantonal, prononce : I. Le recours est rejeté. II. Le prononcé est confirmé. III. Les frais judiciaires de deuxième instance, arrêtés à 200 fr. (deux cents francs), sont mis à la charge du recourant B.________. IV. L’arrêt est exécutoire. La présidente : La greffière : Du L'arrêt qui précède, dont la rédaction a été approuvée à huis clos, est notifié à : - Me B.________, - Mme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14J001</w:t>
      </w:r>
    </w:p>
    <w:p>
      <w:r>
        <w:t>- 9 -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