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TD19.053186 vom 6. März 2023</w:t>
      </w:r>
    </w:p>
    <w:p>
      <w:r>
        <w:t>VD Tribunal cantonal, 2023-03-06, FR</w:t>
      </w:r>
    </w:p>
    <w:p>
      <w:r>
        <w:rPr>
          <w:b/>
        </w:rPr>
        <w:t xml:space="preserve">Quelle: </w:t>
      </w:r>
      <w:r>
        <w:t>https://mcp.opencaselaw.ch/entscheid/vd_gerichte_TD19.053186</w:t>
      </w:r>
    </w:p>
    <w:p>
      <w:r>
        <w:t>FR: VD_GERICHTE TD19.053186 du 6 mars 2023</w:t>
      </w:r>
    </w:p>
    <w:p>
      <w:r>
        <w:t>IT: VD_GERICHTE TD19.053186 del 6 marzo 2023</w:t>
      </w:r>
    </w:p>
    <w:p>
      <w:pPr>
        <w:pStyle w:val="Heading2"/>
      </w:pPr>
      <w:r>
        <w:t>Erwägungen</w:t>
      </w:r>
    </w:p>
    <w:p>
      <w:r>
        <w:rPr>
          <w:b/>
        </w:rPr>
        <w:t>E. 1</w:t>
      </w:r>
    </w:p>
    <w:p>
      <w:r>
        <w:t>Par jugement du 18 janvier 2023, le Tribunal civil de l’arrondissement de la Broye et du Nord vaudois (ci-après : le tribunal) a notamment prononcé le divorce des époux A.K.________ et B.K.________, a attribué à B.K.________ l’autorité parentale exclusive ainsi que la garde sur l’enfant A.________, a fixé le droit aux relations personnelles de A.K.________ sur sa fille, a astreint A.K.________ à contribuer à l’entretien de l’enfant A.________ par le versement d’une pension mensuelle de 370 fr., allocations familiales éventuelles en sus, dès jugement de divorce définitif et exécutoire, jusqu’à la majorité de l’enfant et au-delà jusqu’à l’achèvement de sa formation professionnelle aux conditions de l’art. 277 al. 2 CC, a arrêté les frais judiciaires à 5'912 fr. 50 pour B.K.________ et a dit que les frais judiciaires de A.K.________, arrêtés à 9'712 fr. 50, étaient laissés à la charge de l’Etat, compte tenu de l’assistance judiciaire, et a dit que A.K.________ devait payer la somme de 12'790 fr. à B.K.________ à titre de dépens.</w:t>
      </w:r>
    </w:p>
    <w:p>
      <w:r>
        <w:rPr>
          <w:b/>
        </w:rPr>
        <w:t>E. 2</w:t>
      </w:r>
    </w:p>
    <w:p>
      <w:r>
        <w:t>Par acte du 20 janvier 2023, A.K.________ (ci-après : l’appelante) a interjeté appel contre le jugement précité. L’intimé n’a pas été invité à déposer une réponse.</w:t>
      </w:r>
    </w:p>
    <w:p>
      <w:r>
        <w:rPr>
          <w:b/>
        </w:rPr>
        <w:t>E. 3.1</w:t>
      </w:r>
    </w:p>
    <w:p>
      <w:r>
        <w:t>La voie de l’appel est ouverte contre les décisions finales de première instance (art. 308 al. 1 let. a CPC) au sens de l’art. 236 CPC, dans les causes patrimoniales dont la valeur litigieuse au dernier état des conclusions devant l’autorité précédente est de 10'000 fr. au moins (art. 308 al. 2 CPC). L’appel doit être introduit dans les trente jours à compter de la notification de la décision motivée ou de la notification postérieure de la motivation (art. 311 al. 1 CPC).</w:t>
      </w:r>
    </w:p>
    <w:p>
      <w:r>
        <w:t>- 3 -</w:t>
      </w:r>
    </w:p>
    <w:p>
      <w:r>
        <w:rPr>
          <w:b/>
        </w:rPr>
        <w:t>E. 3.2.1.1</w:t>
      </w:r>
    </w:p>
    <w:p>
      <w:r>
        <w:t>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5A_787/2021 du 16 décembre 2022 consid. 4.3.1). Lorsqu'elle examine un acte déposé par une partie non assistée ne disposant pas d'une formation juridique, l'autorité d'appel ne</w:t>
      </w:r>
    </w:p>
    <w:p>
      <w:r>
        <w:t>- 4 -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citées ; TF 5A_577/2020 précité consid. 6 ; sur le tout : TF 5A_779/2021, 5A_787/2021 du 16 décembre 2022 consid. 4.3.1).</w:t>
      </w:r>
    </w:p>
    <w:p>
      <w:r>
        <w:rPr>
          <w:b/>
        </w:rPr>
        <w:t>E. 3.2.1.2</w:t>
      </w:r>
    </w:p>
    <w:p>
      <w:r>
        <w:t>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III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w:t>
      </w:r>
    </w:p>
    <w:p>
      <w:r>
        <w:t>- 5 - l'arrêt attaqué (ATF 137 III 617 consid. 6.2 et les réf. citées ; ATF 133 II 409 consid. 1.4.2 ; TF 5A_65/2022 du 16 janvier 2023 consid. 3.3.1 ; TF 5A_779/2021, 5A_787/2021 du 16 décembre 2022 consid. 3.1 ; TF 5A_164/2019 précité consid. 4.3).</w:t>
      </w:r>
    </w:p>
    <w:p>
      <w:r>
        <w:rPr>
          <w:b/>
        </w:rPr>
        <w:t>E. 3.2.1.3</w:t>
      </w:r>
    </w:p>
    <w:p>
      <w:r>
        <w:t>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CR-CPC, n. 5 ad art. 311 CPC).</w:t>
      </w:r>
    </w:p>
    <w:p>
      <w:r>
        <w:rPr>
          <w:b/>
        </w:rPr>
        <w:t>E. 3.2.2.1</w:t>
      </w:r>
    </w:p>
    <w:p>
      <w:r>
        <w:t>L’appelante soutient que le tribunal n’aurait pas démontré qu’elle présentait un danger pour sa fille. Elle reproche par ailleurs aux premiers juges d’avoir astreint l’enfant A.________ à une thérapie alors que celle-ci serait en bonne santé. Elle fait également part de son incompréhension s’agissant du calcul de la contribution d’entretien en faveur de sa fille et des dépens, par 12'790 fr., à verser à son ex-époux. Dans une partie intitulée « conclusion », outre des remarques générales sur sa personne, l’appelante indique qu’A.________ « devrait vivre à sa maison, à côté de sa maman, d’autant plus que c’est son envie. Donc M. B.K.________ est obligé de payer pour sa fille un montant de 1000 francs par mois. ». Elle requiert enfin la somme de 150'000 fr. à titre d’indemnité pour tort moral en lien avec son hospitalisation forcée dans une clinique psychiatrique.</w:t>
      </w:r>
    </w:p>
    <w:p>
      <w:r>
        <w:rPr>
          <w:b/>
        </w:rPr>
        <w:t>E. 3.2.2.2</w:t>
      </w:r>
    </w:p>
    <w:p>
      <w:r>
        <w:t>En l’espèce, l’acte d’appel ne contient aucune conclusion. L’appelante ne précise pas ce qu’elle entend obtenir en appel ; tout au plus, elle indique qu’elle aurait droit à une indemnité pour tort moral de 150'000 fr. mais sans que l’on comprenne si elle estime être en droit de l’obtenir de son ex-époux ou de l’hôpital psychiatrique où elle aurait été placée. Par ailleurs, on ignore, lorsque l’appelante indique qu’ « A.________</w:t>
      </w:r>
    </w:p>
    <w:p>
      <w:r>
        <w:t>- 6 - devrait vivre à sa maison, à côté de sa maman », si celle-ci entend conclure à la garde de sa fille et la lecture des arguments invoqués dans l’acte d’appel ne permet pas de le déterminer. La motivation de l’acte d’appel est de surcroît insuffisante. L’appelante affirme qu’elle n’est pas d’accord avec certains considérants du jugement attaqué, en alléguant divers faits sans indiquer en quoi ceux- ci seraient contraires à ceux retenus dans le jugement, ni surtout en quoi ceux-ci invalideraient le raisonnement suivi par les premiers juges. Il en va ainsi des remarques générales formulées par l’appelante sur sa situation personnelle et financière ainsi que celle de son ex-époux, sur l’état de santé de sa fille ou encore sur le montant dû à titre de dépens. Partant, faute de conclusions et de motivation suffisante, ce qui constitue un vice irréparable, il ne peut être entré en matière sur cet appel.</w:t>
      </w:r>
    </w:p>
    <w:p>
      <w:r>
        <w:rPr>
          <w:b/>
        </w:rPr>
        <w:t>E. 4</w:t>
      </w:r>
    </w:p>
    <w:p>
      <w:r>
        <w:t>Il s’ensuit que l’appel doit être déclaré irrecevable selon l’art. 312 al. 1 in fine CPC. Il ne sera pas perçu de frais judiciaires de deuxième instance (art. 11 TFJC [tarif des frais judiciaires civils du 28 septembre 2010 ; BLV 270.11.5]).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