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TD19.029482 vom 5. Februar 2026</w:t>
      </w:r>
    </w:p>
    <w:p>
      <w:r>
        <w:t>VD Tribunal cantonal, 2026-02-05, FR</w:t>
      </w:r>
    </w:p>
    <w:p>
      <w:r>
        <w:rPr>
          <w:b/>
        </w:rPr>
        <w:t xml:space="preserve">Quelle: </w:t>
      </w:r>
      <w:r>
        <w:t>https://mcp.opencaselaw.ch/entscheid/vd_gerichte_TD19.029482</w:t>
      </w:r>
    </w:p>
    <w:p>
      <w:r>
        <w:t>FR: VD_GERICHTE TD19.029482 du 5 février 2026</w:t>
      </w:r>
    </w:p>
    <w:p>
      <w:r>
        <w:t>IT: VD_GERICHTE TD19.029482 del 5 febbraio 2026</w:t>
      </w:r>
    </w:p>
    <w:p>
      <w:pPr>
        <w:pStyle w:val="Heading2"/>
      </w:pPr>
      <w:r>
        <w:t>Erwägungen</w:t>
      </w:r>
    </w:p>
    <w:p>
      <w:r>
        <w:rPr>
          <w:b/>
        </w:rPr>
        <w:t>E. 4.1</w:t>
      </w:r>
    </w:p>
    <w:p>
      <w:r>
        <w:t>L’appelante conteste le montant de l’entretien convenable des enfants tel qu’arrêté par les premiers juges, ainsi que les contributions d'entretien y relatives.</w:t>
      </w:r>
    </w:p>
    <w:p>
      <w:r>
        <w:rPr>
          <w:b/>
        </w:rPr>
        <w:t>E. 4.2</w:t>
      </w:r>
    </w:p>
    <w:p>
      <w:r>
        <w:t>L’intimé fait siennes les considérations développées par les premiers juges et conteste réaliser un revenu accessoire tel que plaidé par l’appelante.</w:t>
      </w:r>
    </w:p>
    <w:p>
      <w:r>
        <w:rPr>
          <w:b/>
        </w:rPr>
        <w:t>E. 4.3</w:t>
      </w:r>
    </w:p>
    <w:p>
      <w:r>
        <w:t>Les premiers juges ont retenu que l’intimé réalisait un revenu mensuel net de 3'550 fr. 90, treizième salaire compris, pour son activité à plein temps auprès de G.______ SA. Ils ont relevé qu’en tant que l’intimé exerçait déjà son emploi à 100 %, il ne pouvait lui être reproché d’avoir renoncé à un revenu supplémentaire liée à une activité accessoire. S’agissant de ses charges, les premiers juges les ont retenues par 2'629 fr. 30 en se fondant sur le minimum vital du droit des poursuites, arrêtant ainsi son disponible mensuel à 921 fr. 60. Quant à l’entretien convenable de F.______, ils ont relevé que, compte tenu de son âge et de la jurisprudence applicable, elle avait droit à une contribution de prise en charge jusqu’à concurrence de 20 % du disponible de l’appelante, cela jusqu’à ses 15 ans révolus. Ils ont ainsi arrêté son entretien convenable à 870 fr. par mois jusqu’au premier jour du mois suivant son 16ème anniversaire, date qu’ils ont déterminée être le 1er juin 2027. Enfin, les premiers juges ont considéré que la part au loyer des trois enfants des parties devait être retenue à hauteur de 10 % du loyer total de leur mère.</w:t>
      </w:r>
    </w:p>
    <w:p>
      <w:r>
        <w:rPr>
          <w:b/>
        </w:rPr>
        <w:t>E. 4.4.1</w:t>
      </w:r>
    </w:p>
    <w:p>
      <w:r>
        <w:t>Selon l’art. 285 CC, la contribution d’entretien doit correspondre aux besoins de l’enfant ainsi qu’à la situation et aux ressources de ses père 19J010</w:t>
      </w:r>
    </w:p>
    <w:p>
      <w:r>
        <w:t>- 21 - et mère, de même qu’il doit être tenu compte de la fortune et des revenus de l’enfant (al. 1). La contribution sert aussi à garantir la prise en charge de l’enfant par les parents et les tiers (al. 2).</w:t>
      </w:r>
    </w:p>
    <w:p>
      <w:r>
        <w:rPr>
          <w:b/>
        </w:rPr>
        <w:t>E. 4.4.2</w:t>
      </w:r>
    </w:p>
    <w:p>
      <w:r>
        <w:t>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JdT 2022 II 107 ; ATF 147 III 265 consid. 6.6 in fine, SJ 2021 I 316). Cette méthode consiste d’abord à établir les ressources financières à disposition – y compris d’éventuels revenus hypothétiques – puis à déterminer les besoins de la personne dont l’entretien est concerné (entretien dit convenable ; ATF 147 III 301 consid. 4.3 ; ATF 147 III 293 consid. 4.5 in fine).</w:t>
      </w:r>
    </w:p>
    <w:p>
      <w:r>
        <w:rPr>
          <w:b/>
        </w:rPr>
        <w:t>E. 4.4.3</w:t>
      </w:r>
    </w:p>
    <w:p>
      <w:r>
        <w:t>Pour déterminer les besoins, respectivement l’entretien convenable, il convient de prendre comme point de départ les Lignes directrices pour le calcul du minimum vital LP selon l’art. 93 LP (loi sur la poursuite pour dettes et la faillite du 11 avril 1889 ; RS 281.1), édictées par la Conférence des préposés aux poursuites et faillites de Suisse, servant de référence (ATF 147 III 265 consid. 7.2 ; TF 5A_936/2022 du 8 novembre 2023 consid. 3.1 et 3.2). Ce minimum vital se compose d’un montant de base comprenant les frais pour l’alimentation, les vêtements et le linge, les soins corporels et de santé, l’eau, l’éclairage, le courant électrique ou le gaz, etc. S’ajoutent au montant de base mensuel les frais de logement (pour autant qu’ils ne soient pas disproportionnés par rapport à la situation économique et personnelle du débiteur) – le cas échéant sous déduction de la part au logement de l’enfant –, les frais de chauffage et des charges accessoires. Font également partie du minimum vital LP les primes à l’assurance-maladie obligatoire, les dépenses indispensables à l’exercice d’une profession (soit notamment les frais de déplacements entre le domicile et le lieu de travail), ainsi que les pensions alimentaires dues et effectivement payées (ATF 147 III 265 consid. 7.2). 19J010</w:t>
      </w:r>
    </w:p>
    <w:p>
      <w:r>
        <w:t>- 22 - Lorsque les moyens sont limités, il convient de s’en tenir à ces charges, qui constituent le minimum vital LP (ATF 147 III 265 consid. 7.2), étant rappelé qu’il ne doit pas être porté atteinte au minimum vital LP du débirentier (ATF 147 III 265 consid. 6.2).</w:t>
      </w:r>
    </w:p>
    <w:p>
      <w:r>
        <w:rPr>
          <w:b/>
        </w:rPr>
        <w:t>E. 4.4.4</w:t>
      </w:r>
    </w:p>
    <w:p>
      <w:r>
        <w:t>Lorsque le débirentier diminue son revenu dans l'intention de nuire, une modification de la contribution d'entretien est exclue même si la réduction de revenu est irrémédiable (ATF 143 III 223 consid. 3.4). A cet égard, selon la jurisprudence, lorsque le débirentier exerçait déjà une activité lucrative à plein temps et assumait une obligation d'entretien préexistante, il doit entreprendre tout ce qui est en son pouvoir et, en particulier, exploiter pleinement sa capacité de gain pour être en mesure de continuer d'assumer cette obligation d'entretien. Lorsque, même dans le cas d'un changement involontaire d'emploi, il se satisfait en connaissance de cause d'une activité lucrative lui rapportant des revenus moindres, le débirentier a une obligation de collaboration accrue (TF 5A_788/2022 du 18 janvier 2024 ; TF 5A_463/2022 du 22 mai 2023 consid. 6.5.2 et les références citées) : il doit se laisser imputer le gain qu'il réalisait précédemment s'il ne démontre pas avoir tout mis en œuvre pour percevoir une rémunération équivalente. L'examen des exigences à remplir pour que l'on puisse considérer que le débirentier a tout mis en œuvre pour continuer à assumer son obligation d'entretien et qu'il a donc démontré son incapacité à trouver un autre poste avec une rémunération similaire à celle qu'il percevait précédemment relève de l'appréciation du juge, qui pourra sur ce point se montrer large pour tenir compte de critères tels que l'âge de la personne à la recherche d'un emploi (parmi plusieurs, TF 5A_788/2022 du 18 janvier 2024 consid. 4.3.1 ; TF 5A_784/2022 du 12 juillet 2023 consid. 5.1 ; TF 5A_794/2020 du 3 décembre 2021 consid. 3.4 ; TF 5A_253/2020 du 25 mars 2021 consid. 3.1.2 ; TF 5A 782/2016 du 31 mai 2017 consid. 5.3-5.4 et les références citées).</w:t>
      </w:r>
    </w:p>
    <w:p>
      <w:r>
        <w:rPr>
          <w:b/>
        </w:rPr>
        <w:t>E. 4.5.1.1</w:t>
      </w:r>
    </w:p>
    <w:p>
      <w:r>
        <w:t>L'appelante conteste d'abord la part au loyer prise en compte dans la détermination des coûts directs des enfants. Elle fait valoir à ce sujet 19J010</w:t>
      </w:r>
    </w:p>
    <w:p>
      <w:r>
        <w:t>- 23 - que 10 % pour chacun des enfants mineurs est inexact et qu'il convient de rectifier le pourcentage de cette part en tenant compte d'un tiers du 40 % chacun.</w:t>
      </w:r>
    </w:p>
    <w:p>
      <w:r>
        <w:rPr>
          <w:b/>
        </w:rPr>
        <w:t>E. 4.5.1.2</w:t>
      </w:r>
    </w:p>
    <w:p>
      <w:r>
        <w:t>L’appelante plaide que son fils aîné, majeur et sans formation, vit toujours auprès d’elle dans le logement subventionné. Certes seuls les trois plus jeunes enfants étaient mineurs au jour de l'appel mais l'aîné H.______, est sans emploi et sans formation et vit toujours au domicile de la mère dans le logement subventionné en sorte que ce sont bien 40 % qui ont été répartis entre les quatre enfants, à savoir 10 % chacun. En tant que chaque enfant s'est vu reconnaître une part de 10 % du loyer de la mère, le calcul n'est pas contestable. Le grief de l’appelante doit dont être écarté.</w:t>
      </w:r>
    </w:p>
    <w:p>
      <w:r>
        <w:rPr>
          <w:b/>
        </w:rPr>
        <w:t>E. 4.5.2.1</w:t>
      </w:r>
    </w:p>
    <w:p>
      <w:r>
        <w:t>L'appelante se plaint ensuite de ce que les périodes de calcul des coûts de l'entretien de l'enfant F.______ sont incorrectement délimitées, car si le tribunal a admis qu'il se justifiait de distinguer une période jusqu'aux 15 ans de l'enfant, puis dès le premier jour du mois qui suit son 16ème anniversaire – ce qu'elle ne remet pas en cause –, il a retenu une première période jusqu'au 31 mai 2027, puis dès le 1er juin 2027. Dès lors que F.______ est née le 13 mai 2012, les périodes devraient être « jusqu'au 31 mai 2028, puis dès le 1er juin 2028 ».</w:t>
      </w:r>
    </w:p>
    <w:p>
      <w:r>
        <w:rPr>
          <w:b/>
        </w:rPr>
        <w:t>E. 4.5.2.2</w:t>
      </w:r>
    </w:p>
    <w:p>
      <w:r>
        <w:t>En l’occurrence, la détermination des périodes d'entretien de l'enfant F.______ est effectivement manifestement erronée puisque la mineure aura 15 ans révolus le 13 mai 2028. Il y a effectivement une erreur de calcul pour la détermination de différentes périodes, qui doit être corrigée. Ainsi, le grief de l’appelante apparaît fondé et la période sera modifiée en ce sens que la première s’étend jusqu’au 31 mai 2028 puis que la deuxième débute dès le 1er juin 2028. 19J010</w:t>
      </w:r>
    </w:p>
    <w:p>
      <w:r>
        <w:t>- 24 -</w:t>
      </w:r>
    </w:p>
    <w:p>
      <w:r>
        <w:rPr>
          <w:b/>
        </w:rPr>
        <w:t>E. 4.5.3.1</w:t>
      </w:r>
    </w:p>
    <w:p>
      <w:r>
        <w:t>L'appelante fait ensuite grief au tribunal d'avoir procédé à une appréciation erronée de la situation financière du débirentier. S'agissant des revenus de l’intimé, elle expose qu'en sus de son activité principale auprès de G.______ SA, celui-ci exercerait à titre d'activité professionnelle accessoire le métier de livreur de journaux. Ses déclarations en audience selon lesquelles il aurait renoncé à cet emploi accessoire ne seraient pas correctes puisque des fiches de salaires de […] AG auraient été versées au dossier au moins jusqu'en mai 2023 et que l'activité n'aurait pas cessé depuis lors. Elle requiert ainsi que […] AG soit interpellée et invitée à produire les décomptes de salaires concernant l’intimé. En tous les cas, l’appelante considère que le débirentier ne pouvait pas renoncer à cette activité accessoire dans la situation d'espèce précaire où les enfants et elle dépendent de l'aide sociale, ce même s'il exerce déjà une activité professionnelle principale à temps plein. Aussi, si l’intimé a effectivement mis fin à cette activité accessoire, elle plaide qu'un revenu hypothétique de remplacement lui soit imputé pour le calcul de l'entretien de la famille. L'appelante ajoute que l’intimé tiendrait en outre des stands de nourriture saisonnière (glaces, marrons chauds) qui lui procureraient des revenus accessoires dont il devrait être tenu compte. Concernant les charges de l'intimé, l’appelante affirme que l’intimé sous-louerait son appartement, élément de fait dont il devrait être tenu compte pour le poste logement, voire pour la base du minimum vital. En définitive, l’appelante soutient que les revenus de l’intimé se montent à 4'901 fr. 10 par mois et ses charges à 2'629 fr. 30, en sorte que celui-ci bénéficierait d'un disponible de 2'271 fr. 90 qui devrait être affecté en totalité aux besoins des enfants et d'elle-même, estimant que sa conclusion en allocation d'une contribution à son propre entretien peut être admise au vu du disponible corrigé de l'intimé. A ce dernier sujet, elle invoque ainsi une violation de l'art. 125 CC, rappelant que le mariage a eu une influence concrète sur sa capacité de gain puisqu'elle s'est entièrement consacrée aux soins et à l'éducation des quatre enfants du couple. 19J010</w:t>
      </w:r>
    </w:p>
    <w:p>
      <w:r>
        <w:t>- 25 -</w:t>
      </w:r>
    </w:p>
    <w:p>
      <w:r>
        <w:rPr>
          <w:b/>
        </w:rPr>
        <w:t>E. 4.5.3.2</w:t>
      </w:r>
    </w:p>
    <w:p>
      <w:r>
        <w:t>Il faut examiner si le refus de continuer l'activité accessoire était acceptable ou si l’intimé épuise déjà sa capacité contributive. 4.5.3.2.1 L'intimé est en mesure de contribuer à l'entretien des enfants et l’appelante requiert l'imputation d'un revenu hypothétique correspondant à l'activité accessoire afin que celui-ci soit en mesure de lui servir une contribution à son entretien. Or, l'épuisement de la capacité contributive de l'époux est certes accru lorsqu'il s'agit de servir un entretien à un enfant mineur, ce qui n'est pas le cas pour servir un entretien à son conjoint, a fortiori un ex-conjoint. L'examen des circonstances conduit à requérir de l’appelante qu'elle s'efforce de parvenir à son autonomie et l'intimé, qui travaille déjà à temps plein, épuise sa capacité contributive sans qu'il ne doive être exigé de lui qu'il occupe à long terme une activité accessoire (travail surobligatoire), ce d'autant que le temps consacré à cette activité professionnelle supplémentaire aux fins de servir un entretien à l'ex-épouse est contraire à l'intérêt supérieur des enfants qui voient le temps que leur père pourrait leur consacrer lors d'un droit aux relations personnelles réduit. Ce raisonnement est conforme à l'arrêt TF 5A_636/2023 du 19 mars 2025, en ce sens que la non-prise en considération, pour le calcul des contributions, du revenu supérieur réalisé par un parent grâce à une activité professionnelle rémunérée à un taux supérieur à ce qui pourrait être exigé de lui n'est pas choquante en l'espèce. L’intimé ne réalisait pas grâce à ces activités un disponible qui l'aurait placé dans une position nettement plus favorable que son épouse ou grâce auquel celle-ci aurait pu recevoir une contribution indispensable à une vie descente. Partant, l'intimé n'a pas renoncé à une activité aux fins de nuire à son ex-épouse. L’intérêt des enfants à pouvoir entretenir des relations personnelles avec leur père est déterminant. En définitive, les revenus effectifs de l'intimé, qui travaille à 100 %, ne doivent pas être majorés des revenus supplémentaires qu'il a pu réaliser à une période passée. Le grief doit être rejeté et les réquisitions de preuve corrélatives sont sans incidences pour le sort de la cause. 19J010</w:t>
      </w:r>
    </w:p>
    <w:p>
      <w:r>
        <w:t>- 26 -</w:t>
      </w:r>
    </w:p>
    <w:p>
      <w:r>
        <w:rPr>
          <w:b/>
        </w:rPr>
        <w:t>E. 4.5.3.3</w:t>
      </w:r>
    </w:p>
    <w:p>
      <w:r>
        <w:t>4.5.3.3.1 L’appelante a requis que la production du contrat de bail à loyer et de l’éventuel contrat de sous-location de l’intimé en mains des […]. L’appelante ne motive pas suffisamment ses réquisitions en production de pièces. Elle n’indique en particulier pas avoir d’ores et déjà requis ces productions et que celles-ci lui auraient été refusées, de sorte que l’on ignore même si les faits qu’elles sont censées fonder sont nouveaux. Or, il n’appartient pas à la Cour de céans de faire ces vérifications dans de telles circonstances. Par conséquent, la recevabilité de ses requêtes paraît douteuse eu égard au devoir de motivation qui lui incombe (cf. consid. 2.3 et 2.4 supra). Cette question peut toutefois demeurer ouverte pour les raisons qui suivent. L’appelante fonde ses réquisitions de pièce sur des ouï-dire. Elle se borne à alléguer qu’elle « aurait appris que C.______ sous-louerait son appartement ». L’appartement concerné est un deux pièces, de sorte qu’il apparaît peu vraisemblable – sous réserve d'un vrai concubinage que l’appelante ne soutient pas – d'envisager une sous-location. Ainsi, faute d'indice laissant à penser que l'intimé vit dorénavant en concubinage stable (par exemple nom sur la boîte aux lettres), la réquisition de preuve est hasardeuse. On doit admettre que la réponse de l'intimé sur ce point est plus que discutable en tant qu'il est erroné de prétendre qu'il n'a pas de compte à rendre à la justice sur l'organisation de sa vie, mais la seule allégation en une ligne ne permet pas de considérer la critique comme fondée, au vu des circonstances. Partant, les réquisitions de preuve de l’appelante seront rejetées. 4.5.3.3.2 Ainsi, s’agissant des charges de l’intimé, la part au loyer, y compris la garantie […] retenue par les premiers juges est raisonnable. La 19J010</w:t>
      </w:r>
    </w:p>
    <w:p>
      <w:r>
        <w:t>- 27 - critique de l’appelante, qui soutient que l’intimé sous-louerait son appartement, est plus que lacunaire puisqu’elle n’indique même pas l’origine de l’information qu’elle aurait recueillie à ce sujet. Cela étant et comme relevé plus haut (cf. consid. 3.2 supra), l’appartement de l’intimé apparaît trop petit pour rendre plausible une sous-location et l’appelante ne soutient pas de concubinage de son ex-époux. Son grief sera donc également rejeté.</w:t>
      </w:r>
    </w:p>
    <w:p>
      <w:r>
        <w:rPr>
          <w:b/>
        </w:rPr>
        <w:t>E. 5.1</w:t>
      </w:r>
    </w:p>
    <w:p>
      <w:r>
        <w:t>L’appelante requiert également l’allocation d’une contribution d'entretien pour elle-même estimant que, selon ses calculs, l’intimé aurait un disponible suffisant pour ce faire.</w:t>
      </w:r>
    </w:p>
    <w:p>
      <w:r>
        <w:rPr>
          <w:b/>
        </w:rPr>
        <w:t>E. 5.2.1</w:t>
      </w:r>
    </w:p>
    <w:p>
      <w:r>
        <w:t>Selon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147 III 249 consid. 3.4.2 et les références citées ; TF 5A_1036/2021 du 23 septembre 2022 consid. 3.2.1 et l'arrêt cité). La détermination de la contribution d'entretien est laissée, pour une part importante, à l'appréciation du juge du fait, qui applique les règles du droit et de l'équité (art. 4 CC ; ATF 148 III 161 consid. 4.1 ; TF 5A_611/2022 du 21 décembre 2022 consid. 3.2.1 et l'arrêt cité).</w:t>
      </w:r>
    </w:p>
    <w:p>
      <w:r>
        <w:rPr>
          <w:b/>
        </w:rPr>
        <w:t>E. 5.2.2</w:t>
      </w:r>
    </w:p>
    <w:p>
      <w:r>
        <w:t>Lorsque l'union conjugale a durablement marqué de son empreinte la situation de l'époux bénéficiaire (« lebensprägende Ehe »), le principe est que le standard de vie choisi d'un commun accord durant la vie commune doit être maintenu pour les deux parties dans la mesure où leur situation financière le permet (art. 125 al. 2 ch. 3 CC ; ATF 147 III 249 consid. 19J010</w:t>
      </w:r>
    </w:p>
    <w:p>
      <w:r>
        <w:t>- 28 - 3.4.3 ; TF 5A_611/2022 du 21 décembre 2022 consid. 3.2.1 et les arrêts cités).</w:t>
      </w:r>
    </w:p>
    <w:p>
      <w:r>
        <w:rPr>
          <w:b/>
        </w:rPr>
        <w:t>E. 5.2.3</w:t>
      </w:r>
    </w:p>
    <w:p>
      <w:r>
        <w:t>Quand bien même le mariage serait « lebensprägend », une contribution d’entretien ne peut se justifier que si l’époux demandeur n’est pas en mesure de pourvoir lui-même à ses besoins, de manière complète ou partielle. En effet, selon la jurisprudence du Tribunal fédéral l’art. 125 CC consacre le principe du « clean break » selon lequel, dans toute la mesure du possible, chaque conjoint doit acquérir (ou retrouver) son indépendance économique et subvenir à ses propres besoins après le divorce (ATF 147 III 249 consid. 3.4). Ce principe doit primer l’octroi d’une contribution d’entretien (ATF 141 III 465 consid. 3.1 ; ATF 134 III 145 consid. 4). Pour déterminer si l’époux-se qui demande une telle contribution peut y avoir droit, il s’agit de savoir s’il est raisonnablement exigible de sa part qu’il ou elle (re)trouve un emploi lui permettant de subvenir à ses propres besoins, en tenant compte des circonstances spécifiques.</w:t>
      </w:r>
    </w:p>
    <w:p>
      <w:r>
        <w:rPr>
          <w:b/>
        </w:rPr>
        <w:t>E. 5.2.4</w:t>
      </w:r>
    </w:p>
    <w:p>
      <w:r>
        <w:t>S’agissant de la capacité de gain du parent gardien, la jurisprudence précise que l'on est en droit d'attendre de celui-ci qu'il recommence à travailler, en principe, à 50 % dès l'entrée du plus jeune enfant à l'école obligatoire, à 80 % à partir du moment où celui-ci débute le degré secondaire et à 100 % dès qu'il atteint l'âge de 16 ans révolus (ATF 147 III 308 consid. 5.2 ; ATF 144 III 481 consid. 4.7.6).</w:t>
      </w:r>
    </w:p>
    <w:p>
      <w:r>
        <w:rPr>
          <w:b/>
        </w:rPr>
        <w:t>E. 5.2.5</w:t>
      </w:r>
    </w:p>
    <w:p>
      <w:r>
        <w:t>L’obligation d’entretien envers un enfant mineur prime les autres obligations d’entretien du droit de la famille (art. 276a al. 1 CC). Ainsi, c’est d’abord le minimum vital LP de l’enfant mineur qui est à servir, puis la contribution de prise en charge calculée selon le minimum vital LP, puis le minimum vital LP du conjoint. Après la couverture du minimum vital LP de tous les ayants droit, les ressources restantes peuvent être affectées au financement du minimum vital du droit de la famille des personnes concernées, en procédant par étapes (ATF 147 III 265 consid. 7.3 ; ATF 144 III 481 consid. 4.3, JdT 2019 II 179, FamPra.ch 2018 p. 1068). 19J010</w:t>
      </w:r>
    </w:p>
    <w:p>
      <w:r>
        <w:t>- 29 -</w:t>
      </w:r>
    </w:p>
    <w:p>
      <w:r>
        <w:rPr>
          <w:b/>
        </w:rPr>
        <w:t>E. 5.3</w:t>
      </w:r>
    </w:p>
    <w:p>
      <w:r>
        <w:t>En l’occurrence, on relèvera que l’appelante n'a certes jamais travaillé, mais le divorce est prononcé et la plus jeune des enfants, née en 2012, est ainsi âgée de 13 ans. Partant, à la lumière des principes jurisprudentiels rappelés ci-dessus (cf. consid. 5.2 supra), il peut être attendu de l'ex-épouse qu'elle tente de parvenir à l'autonomie financière (« clean break ») nonobstant un mariage qui doit être qualifié de « lebensprägend ». En tout état, il a été établi que les moyens financiers de l’intimé ne sont pas suffisants pour couvrir les coûts directs des enfants mineurs. Les contributions d'entretien en leur faveur primant sur les autres obligations d’entretien du droit de la famille, l’appelante ne peut pas prétendre au versement d’une pension en sa faveur.</w:t>
      </w:r>
    </w:p>
    <w:p>
      <w:r>
        <w:rPr>
          <w:b/>
        </w:rPr>
        <w:t>E. 6.1</w:t>
      </w:r>
    </w:p>
    <w:p>
      <w:r>
        <w:t>Compte tenu de ce qui précède, l'appel doit être partiellement admis et le jugement de divorce réformé en ce qui concerne les périodes des contributions d'entretien en faveur de l’enfant F.______.</w:t>
      </w:r>
    </w:p>
    <w:p>
      <w:r>
        <w:rPr>
          <w:b/>
        </w:rPr>
        <w:t>E. 6.2.1</w:t>
      </w:r>
    </w:p>
    <w:p>
      <w:r>
        <w:t>Vu l’admission de l’appel, il convient de statuer sur le sort des frais judiciaires et des dépens de première instance (art. 318 al. 3 CPC).</w:t>
      </w:r>
    </w:p>
    <w:p>
      <w:r>
        <w:rPr>
          <w:b/>
        </w:rPr>
        <w:t>E. 6.2.2</w:t>
      </w:r>
    </w:p>
    <w:p>
      <w:r>
        <w:t>Aux termes de l’art. 95 al. 1 CPC, les frais comprennent les frais judiciaires (al. 2) et les dépens (al. 3), lesquels sont fixés par les cantons (art. 96 CPC). Conformément à l’art. 106 al. 1 CPC, les frais sont mis à la charge de la partie succombante.</w:t>
      </w:r>
    </w:p>
    <w:p>
      <w:r>
        <w:rPr>
          <w:b/>
        </w:rPr>
        <w:t>E. 6.2.3</w:t>
      </w:r>
    </w:p>
    <w:p>
      <w:r>
        <w:t>L'art. 106 al. 2 CPC prévoit que lorsqu'aucune des parties n'obtient entièrement gain de cause, les frais sont répartis selon le sort de la cause. Cette disposition suppose une condamnation aux frais et dépens en fonction de l'issue du litige, comparée aux conclusions prises par chaque partie (TF 4A_11/2022 du 27 juin 2022 consid. 7.1 ; TF 4A_630/2020 du 24 mars 2022 consid. 9). En pratique, une succombance minime, de quelques pourcents, n’est en général pas prise en compte (TF 5A_80/2020 et 19J010</w:t>
      </w:r>
    </w:p>
    <w:p>
      <w:r>
        <w:t>- 30 - 5A_102/2020 du 19 août 2020 consid. 4.3 et les références citées). Par ailleurs, le juge peut prendre en compte l’importance des conclusions sur lesquelles gagne une partie dans l’ensemble du litige (TF 5D_108/2020 du 28 janvier 2021 consid. 3.2 ; TF 4A_54/2018 du 11 juillet 2018 consid. 5.1), comme du fait qu’une partie gagne sur une question de principe, sinon sur la quotité (TF 4A_207/2015 du 2 septembre 2015 consid. 3.1, RSPC 2015 484). Cette réglementation octroie au juge un large pouvoir d’appréciation, en particulier quant au poids accordé aux diverses conclusions litigieuses (TF 5D_108/2020 précité consid. 3.1 ; CACI 29 septembre 2025/426 consid. 10.2.1). L’art. 107 CPC indique dans quels cas les frais peuvent être répartis en équité. Ainsi, le tribunal peut s’écarter des règles générales et répartir les frais selon sa libre appréciation lorsque notamment le litige relève du droit de la famille (art. 107 al. 1 let. c CPC). Dans ce cadre, le juge dispose d’un large pouvoir d’appréciation, non seulement dans la manière de répartir les frais, mais déjà lorsqu’il s’agit de déterminer s’il veut s’écarter des règles générales prescrites à l’art. 106 CPC (ATF 139 III 358 consid. 3 ; TF 4A_485/2019 du 4 février 2020 consid. 7.2).</w:t>
      </w:r>
    </w:p>
    <w:p>
      <w:r>
        <w:rPr>
          <w:b/>
        </w:rPr>
        <w:t>E. 6.2.4</w:t>
      </w:r>
    </w:p>
    <w:p>
      <w:r>
        <w:t>Selon l’art. 318 al. 3 CPC, si l’instance d’appel statue à nouveau, elle se prononce sur les frais de la première instance.</w:t>
      </w:r>
    </w:p>
    <w:p>
      <w:r>
        <w:rPr>
          <w:b/>
        </w:rPr>
        <w:t>E. 6.2.5</w:t>
      </w:r>
    </w:p>
    <w:p>
      <w:r>
        <w:t>En l’occurrence, les frais judiciaires de première instance ont été arrêtés à 5'116 fr. 70 et ne sont pas contestés dans leur quotité. En appel, l’appelante n’obtient gain de cause que sur une date concernant les périodes arrêtées par les premiers juges pour l’entretien de l’enfant F.______, c’est-à-dire dans une mesure très restreinte. Par conséquent et en application de l’art. 107 al. 1 let. c CPC, la répartition des frais judiciaires de première instance ne sera pas modifiée. Il en ira de même des dépens alloués en première instance. 19J010</w:t>
      </w:r>
    </w:p>
    <w:p>
      <w:r>
        <w:t>- 31 -</w:t>
      </w:r>
    </w:p>
    <w:p>
      <w:r>
        <w:rPr>
          <w:b/>
        </w:rPr>
        <w:t>E. 6.3</w:t>
      </w:r>
    </w:p>
    <w:p>
      <w:r>
        <w:t>Vu le sort réservé à l'appel, les frais judiciaires de deuxième instance, arrêtés à 600 fr. (art. 63 al. 1 TFJC [tarif des frais judiciaires civils du 28 septembre 2010 ; BLV 270. 11. 5]), seront mis à raison de 2/3, soit 400 fr., à la charge de l’appelante qui succombe concernant ses charges et le budget du débirentier et à raison de 1/3, soit 200 fr., à la charge de l'intimé qui succombe concernant la période d’entretien de l’enfant F.______ (art. 106 al. 1 CPC).</w:t>
      </w:r>
    </w:p>
    <w:p>
      <w:r>
        <w:rPr>
          <w:b/>
        </w:rPr>
        <w:t>E. 6.4</w:t>
      </w:r>
    </w:p>
    <w:p>
      <w:r>
        <w:t>En l’espèce, le litige relevant du droit de la famille, il y a lieu, en équité, de compenser les dépens entre les parties (art. 107 al. 1 let. c CPC).</w:t>
      </w:r>
    </w:p>
    <w:p>
      <w:r>
        <w:rPr>
          <w:b/>
        </w:rPr>
        <w:t>E. 7.1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2010 sur l’assistance judiciaire en matière civile ; BLV 211.02.3]) et de 110 fr. pour un avocat stagiaire (art. 2 al. 1 let. b RAJ).</w:t>
      </w:r>
    </w:p>
    <w:p>
      <w:r>
        <w:rPr>
          <w:b/>
        </w:rPr>
        <w:t>E. 7.2.1</w:t>
      </w:r>
    </w:p>
    <w:p>
      <w:r>
        <w:t>En l’espèce, Me Henriette Dénéréaz Luisier a indiqué avoir consacré 9 heures et 8 minutes du 8 octobre 2024 au 13 janvier 2026. Vu la nature du litige, des difficultés de la cause et de son ampleur, il y a lieu d’admettre ce nombre d’heures. Il s’ensuit qu’au tarif horaire de 180 fr., l’indemnité de Me Henriette Dénéréaz Luisier doit être fixée à 1’644 fr. (9.08h x 180 fr.), montant auquel il convient d’ajouter des débours par 32 fr. 85 (2 % x 1’644 fr., art. 3bis al. 1 RAJ), ainsi que la TVA à 8.1 % sur l’ensemble, soit 135 fr. 80, pour un total de 1'812 fr. 70. 19J010</w:t>
      </w:r>
    </w:p>
    <w:p>
      <w:r>
        <w:t>- 32 -</w:t>
      </w:r>
    </w:p>
    <w:p>
      <w:r>
        <w:rPr>
          <w:b/>
        </w:rPr>
        <w:t>E. 7.2.2</w:t>
      </w:r>
    </w:p>
    <w:p>
      <w:r>
        <w:t>Quant à Me Kathrin Gruber, elle a produit une liste des opérations dont il ressort qu’elle a consacré 5 heures et 50 minutes au traitement de la cause pour la période allant du 27 août 2024 au 19 janvier 2026. Ce décompte parait correct et sera admis. Il s’ensuit qu’au tarif horaire de 180 fr., l’indemnité de Me Kathrin Gruber doit être fixée à 1’050 fr. (5.50h x 180 fr.), montant auquel il convient d’ajouter des débours par 21 fr. (2 % x 1’050 fr., art. 3bis al. 1 RAJ), ainsi que la TVA à 8.1 % sur l’ensemble, soit 86 fr. 75, pour un total de 1'157 fr. 75.</w:t>
      </w:r>
    </w:p>
    <w:p>
      <w:r>
        <w:rPr>
          <w:b/>
        </w:rPr>
        <w:t>E. 7.3</w:t>
      </w:r>
    </w:p>
    <w:p>
      <w:r>
        <w:t>Les parties bénéficiaires de l’assistance judiciaire sont tenues au remboursement des frais judiciaires et de l’indemnité de leur conseil d’office respectif provisoirement laissés à la charge de l’Etat, dès qu’elles seront en mesure de le faire (art. 123 CPC). Il incombera à la Direction du recouvrement de la Direction générale des affaires institutionnelles et des communes de fixer le principe et les modalités de ce remboursement (art. 39a CDPJ [code de droit privé judiciaire vaudois ; BLV 211.02]).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