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TD19.023293 vom 26. Juli 2022</w:t>
      </w:r>
    </w:p>
    <w:p>
      <w:r>
        <w:t>VD Tribunal cantonal, 2022-07-26, FR</w:t>
      </w:r>
    </w:p>
    <w:p>
      <w:r>
        <w:rPr>
          <w:b/>
        </w:rPr>
        <w:t xml:space="preserve">Quelle: </w:t>
      </w:r>
      <w:r>
        <w:t>https://mcp.opencaselaw.ch/entscheid/vd_gerichte_TD19.023293</w:t>
      </w:r>
    </w:p>
    <w:p>
      <w:r>
        <w:t>FR: VD_GERICHTE TD19.023293 du 26 juillet 2022</w:t>
      </w:r>
    </w:p>
    <w:p>
      <w:r>
        <w:t>IT: VD_GERICHTE TD19.023293 del 26 luglio 2022</w:t>
      </w:r>
    </w:p>
    <w:p>
      <w:pPr>
        <w:pStyle w:val="Heading2"/>
      </w:pPr>
      <w:r>
        <w:t>Erwägungen</w:t>
      </w:r>
    </w:p>
    <w:p>
      <w:r>
        <w:rPr>
          <w:b/>
        </w:rPr>
        <w:t>E. 1</w:t>
      </w:r>
    </w:p>
    <w:p>
      <w:r>
        <w:t>L’appelant, né le [...] 1977, originaire de [...], et l’intimée, née B.R.________ le [...] 1981, originaire de [...] et [...], se sont mariés le [...] 2008 à [...]. Deux enfants sont issus de cette union : - C.R.________, née le [...] 2008 ; - D.R.________, né le [...] 2011.</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des parties qui y ont un intérêt digne de protection (art. 59 al. 2 let. a CPC), portant sur des conclusions, qui, capitalisées (art. 92 CPC), sont supérieures à 10’000 fr., et satisfaisant aux exigences de motivation de l’art. 311 CPC, l’appel principal est recevable. Quant à la réponse de l’intimée, déposée dans le délai fixé, elle est également recevable. 2.</w:t>
      </w:r>
    </w:p>
    <w:p>
      <w:r>
        <w:rPr>
          <w:b/>
        </w:rPr>
        <w:t>E. 2</w:t>
      </w:r>
    </w:p>
    <w:p>
      <w:r>
        <w:t>Les parties vivent séparées depuis le 1er août 2017. Les modalités de leur séparation ont été réglées par convention établie en présence de la médiatrice J.________ et signée le 31 juillet 2017. Ladite convention prévoit notamment que l’appelant contribue à l’entretien de ses deux enfants par le versement d’une pension mensuelle, allocations familiales en sus, de 755 fr. par enfant dès le 1er août 2017 et jusqu’à leurs 10 ans révolus – étant précisé que l’intimée touche de son côté une rente AI liée de 481 fr. par enfant – et de 955 fr. dès lors et jusqu’à la majorité des enfants.</w:t>
      </w:r>
    </w:p>
    <w:p>
      <w:r>
        <w:rPr>
          <w:b/>
        </w:rPr>
        <w:t>E. 2.1</w:t>
      </w:r>
    </w:p>
    <w:p>
      <w:r>
        <w:t>L'appel peut être formé pour violation du droit ou pour constatation inexacte des faits (art. 310 CPC). L'autorité d'appel peut</w:t>
      </w:r>
    </w:p>
    <w:p>
      <w:r>
        <w:t>- 12 -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w:t>
      </w:r>
    </w:p>
    <w:p>
      <w:r>
        <w:rPr>
          <w:b/>
        </w:rPr>
        <w:t>E. 2.3</w:t>
      </w:r>
    </w:p>
    <w:p>
      <w:r>
        <w:t>Dans le cas présent, le litige porte sur les contributions d’entretien dues à des enfants mineurs, de sorte que la maxime</w:t>
      </w:r>
    </w:p>
    <w:p>
      <w:r>
        <w:t>- 13 - inquisitoire illimitée est applicable. Les nouveaux allégués et offres de preuve que l’appelant a introduits dans son acte d’appel sont donc recevables. 3. La pièce nouvelle 3 produite en deuxième instance établit que l’appelant, qui louait auparavant à [...] un appartement de cinq pièces avec [...], loue seul depuis le 1er août 2021 un appartement de deux pièces et demie pour 1'350 fr. par mois, charges comprises, à [...]. On peut dès lors en déduire – et l’intimée ne conteste du reste pas – qu’il s’est séparé d’avec [...] après l’audience des premiers juges et qu’il habite désormais seul un appartement de deux pièces et demie loué pour 1'350 fr. par mois ; l’état de fait du jugement, y compris en ce qui concerne la charge fiscale prévisible, a été modifié en conséquence. En revanche, il n’y a pas lieu de modifier, sur la base de la pièce nouvelle 4, les constatations de fait des premiers juges concernant le revenu réalisé par l’appelant. En effet, le montant retenu par les premiers juges, de 6'108 fr. 40 net par mois, part de treizième salaire inclue, correspond au certificat de salaire 2018, spontanément produit par l’appelant (pièce 3 de première instance). Malgré son libellé dans le bordereau, la pièce nouvelle 4 produite en deuxième instance consiste dans les bulletins de salaire de mai, juillet et août 2021 ; elle ne comporte pas le bulletin de salaire (annoncé) de juin, mois au cours duquel il arrive que certains employeurs règlent la moitié du treizième salaire. En outre, on ne discerne pas pour quel motif le salaire de l’appelant aurait baissé depuis 2018. L’appelant ne tente du reste même pas de le faire valoir. Partant, pour ce qui concerne le revenu de l’appelant, il sied de s’en tenir aux constatations des premiers juges, qui sont fondées sur une pièce probante. 4. La maxime d’office prévue à l’art. 296 al. 3 CPC s’applique également en appel aux questions qui ont été portées en deuxième</w:t>
      </w:r>
    </w:p>
    <w:p>
      <w:r>
        <w:t>- 14 - instance par l’acte d’appel (cf. Dietschy-Martinet, Petit commentaire CPC, 2021, n. 18 ad art. 296). Dans le cas présent, l’appel a pour objet la fixation de contributions d’entretien en faveur d’enfants mineurs. La cour de céans peut dès lors statuer à nouveau sur cet objet sans être liée par les conclusions des parties et, notamment, réformer l’arrêt attaqué en défaveur de la partie appelante (reformatio in pejus). 5.</w:t>
      </w:r>
    </w:p>
    <w:p>
      <w:r>
        <w:rPr>
          <w:b/>
        </w:rPr>
        <w:t>E. 3</w:t>
      </w:r>
    </w:p>
    <w:p>
      <w:r>
        <w:t>a) L’appelant a ouvert la présente action en divorce par demande unilatérale formée le 21 janvier 2020 en concluant en substance, avec suite de frais et dépens, au divorce des parties (I), à l’exercice de l’autorité parentale conjointe sur les enfants C.R.________ et D.R.________ (II), à ce que le lieu de résidence des enfants soit fixé au domicile de leur mère (III), à ce qu’il puisse jouir d’un libre et large droit de visite sur ses enfants, à exercer d’entente avec l’intimée ou, à défaut d’entente, selon des modalités usuelles qu’il a précisées (IV), à ce que le montant de l’entretien convenable des enfants soit arrêté à 273 fr. 50 pour C.R.________ et à 28 fr. 50 pour D.R.________ (V), au versement par ses soins, d’avance le premier de chaque mois en mains de l’intimée, d’une contribution à l’entretien des enfants d’un montant de 300 fr. pour C.R.________ et de 100 fr. jusqu’à ce qu’il ait atteint l’âge de 10 ans révolus et de 300 fr. depuis lors pour D.R.________, allocations familiales en sus, jusqu’à leur majorité, respectivement jusqu’à l’accomplissement d’une formation appropriée régulièrement suivi, au sens de l’art. 277 al. 2 CC (VI), à ce qu’aucune contribution d’entretien ne soit due entre les parties</w:t>
      </w:r>
    </w:p>
    <w:p>
      <w:r>
        <w:t>- 6 - après le divorce (VII), à la liquidation du régime matrimonial des parties en ce sens que chacune devienne ou demeure propriétaire des biens et meubles actuellement en sa possession (VIII) et au partage par moitié des avoirs de prévoyance professionnelle accumulés par les époux durant le mariage, conformément à l’art. 122 CC (IX). b) Lors de l’audience de conciliation du 29 avril 2020, l’intimée a acquiescé au principe du divorce et les parties ont passé la convention partielle qui suit : « I. L'autorité parentale sur les enfants C.R.________, née le [...] 2008, et D.R.________, né le [...] 2011, continue d’être exercée conjointement par A.R.________ et B.R.________. II. La garde des enfants C.R.________ et D.R.________ est confiée à B.R.________. III. A.R.________ exercera un libre droit de visite sur ses enfants, d'entente avec B.R.________. A défaut d'entente, il les aura auprès de lui, transports à sa charge : - une fin de semaine sur deux, du vendredi à 17h30 au dimanche à 19h30 ; - la moitié des vacances scolaires ; - alternativement à Pâques ou Pentecôte, Jeûne fédéral ou Ascension, Noël ou Nouvel an. IV. La bonification pour tâches éducatives au sens de la loi fédérale sur l'AVS est entièrement dévolue à B.R.________. V. Chaque partie renonce à toute rente ou pension pour elle-même. VI. Chaque partie est reconnue propriétaire des biens et objets en sa possession et n'a aucune prétention à faire valoir contre l'autre du chef du régime matrimonial, qui est ainsi dissous et liquidé. » L’appelant a pour le surplus renoncé à déposer une motivation écrite. c) Par réponse du 24 juin 2020, l’intimée a conclu, avec suite de frais et dépens à ce que l’appelant contribue à l’entretien des enfants par le régulier versement, d’avance le premier de chaque mois, en ses mains, d’une pension mensuelle de 928 fr. 90 pour C.R.________ et de 535 fr. 50 pour D.R.________, allocations familiales en sus, jusqu’à leur majorité, respectivement jusqu’à l’accomplissement d’une formation appropriée régulièrement suivie, au sens de l’art. 277 al. 2 CC (VII) et qu’il soit</w:t>
      </w:r>
    </w:p>
    <w:p>
      <w:r>
        <w:t>- 7 - ordonné à la Caisse [...] de verser le montant de 44'574 fr. 60 du compte de l’appelant sur son compte de libre passage, dont elle a précisé les coordonnées (VIII). d) L’audience de premières plaidoiries s’est tenue le 9 décembre 2020, en présence des parties et de leur conseil respectif. e) L’audience de plaidoiries finales s’est tenue le 3 mars 2021 en présence des parties et de leur conseil respectif. Lors de cette audience, la conciliation a abouti comme il suit s’agissant du partage des avoirs de prévoyance professionnelle : « I. Ordre sera donné à la Caisse [...], de prélever le montant de 44’574 fr. 60 (quarante-quatre mille cinq cent septante-quatre francs et soixante centimes), augmenté des intérêts compensatoires courant du 21 janvier 2020 au jour du transfert, sur le compte de prévoyance professionnelle de A.R.________ (assuré n°[...]) et de le verser sur le compte de prévoyance professionnelle de B.R.________ auprès de [...]» Lors de cette même audience, l’intimée a modifié sa conclusion VII en ce sens qu’il faut lire concernant D.R.________ le montant de 735 fr. 50 à la place de 535 fr. 50.</w:t>
      </w:r>
    </w:p>
    <w:p>
      <w:r>
        <w:rPr>
          <w:b/>
        </w:rPr>
        <w:t>E. 4</w:t>
      </w:r>
    </w:p>
    <w:p>
      <w:r>
        <w:t>a) L’appelant travaille à plein temps en qualité de magasinier- vendeur auprès de [...]. Selon son certificat de salaire 2018, il perçoit à ce titre un salaire mensuel net de 6'108 fr. 40, part au treizième salaire comprise. Jusqu’au 31 juillet 2021, l’appelant vivait dans un appartement de cinq pièces à [...] avec sa nouvelle compagne, [...]. Le loyer mensuel de cet appartement s’élevait à 2'250 fr., charges par 250 fr. et place de parc par 100 fr. comprises. L’appelant s’acquittait de la moitié de ce montant. Il partageait également avec sa compagne les frais fixes de la vie courante, à savoir notamment les frais d’électricité, ceux liés à la nourriture ou encore l’abonnement pour la télévision. Toutefois, depuis le 1er août 2021, l’appelant s’est séparé d’avec [...] et habite désormais seul dans un appartement de deux pièces et demie à [...], loué pour 1'350 fr. par mois.</w:t>
      </w:r>
    </w:p>
    <w:p>
      <w:r>
        <w:t>- 8 - Sa prime mensuelle d’assurance-maladie obligatoire s’élève à 379 fr. 55 et ses primes d’assurances complémentaires à 73 fr. 60 et 30 fr. 65. Il bénéfice en outre de subsides de l’Office vaudois de l’assurance-maladie de 102 fr. par mois. Les charges mensuelles de l’appelant se présentent dès lors comme il suit : - base mensuelle selon normes OPF fr. 1'200.00 - frais de logement fr. 1'350.00 - prime d’assurance-maladie (base) fr. 277.55 - frais professionnels de repas hors du domicile fr. 238.70 - frais de déplacement fr. 428.35 Sous-total (minimum vital du droit des poursuites) fr. 3'494.60 - impôts fr. 799.35 - droit de visite fr. 150.00 - prime d’assurance-maladie (complémentaire) fr. 104.25 Total (minimum vital du droit de la famille) fr. 4'548.20 b) L’intimée est actuellement sans emploi et est invalide à un taux de 64 %. Elle bénéficie de trois quart d’une rente de l’assurance- invalidité depuis le 1er mai 2009, conformément à la décision du 8 février 2010 de l’assurance-invalidité fédérale. Le montant mensuel de la rente qu’elle perçoit actuellement s’élève à 1'212 francs. Elle perçoit en outre des rentes mensuelles pour enfant de 486 fr. pour C.R.________ et D.R.________, ainsi qu’une allocation pour impotent de 474 fr. par mois. Finalement, elle est au bénéfice d’une prestation complémentaire AVS/AI de 956 fr. par mois.</w:t>
      </w:r>
    </w:p>
    <w:p>
      <w:r>
        <w:t>- 9 - L’intimée perçoit directement les allocations familiales pour ses enfants depuis le mois d’août 2017, conformément à la convention passée entre les parties le 31 juillet 2017. L’intimée vit avec ses deux enfants dans un appartement de</w:t>
      </w:r>
    </w:p>
    <w:p>
      <w:r>
        <w:rPr>
          <w:b/>
        </w:rPr>
        <w:t>E. 4.5</w:t>
      </w:r>
    </w:p>
    <w:p>
      <w:r>
        <w:t>pièces à [...], dont le loyer mensuel s’élève à 1'860 fr., charges par 160 fr. et place de parc extérieure par 50 fr. comprises. Sa prime mensuelle d’assurance-maladie obligatoire s’élève à 431 fr. 75 et est entièrement subsidiée. Sa prime mensuelle d’assurances complémentaires s’élève quant à elle à 32 francs. Les charges mensuelles de l’intimée se présentent dès lors comme il suit : - base mensuelle selon normes OPF fr. 1'350.00 - frais résiduels de logement (70% de 1'810 fr.) fr. 1'267.00 - prime d’assurance-maladie (base) fr. 0.00 - frais de déplacement fr. 50.00 Sous-total (minimum vital du droit des poursuites) fr. 2'667.00 - impôts fr. 130.25 - prime d’assurance-maladie (complémentaire) fr. 32.00 Total (minimum vital du droit de la famille) fr. 2'829.25 c) La prime mensuelle d’assurance-maladie obligatoire de l’enfant C.R.________ s’élève à 109 fr. 85 et est entièrement subsidiée. Sa prime d’assurances complémentaires s’élève quant à elle à 44 fr. 50. Elle prend des cours de poney à [...] dont le coût de la leçon s’élève à 26 fr. 50 (265 fr. pour 10 leçons). Elle prend également des cours de danse dont le coût annuel s’élève à 384 fr. (216 fr. pour la première session et 168 fr. pour la deuxième session). Les coûts directs d’C.R.________ se présentent dès lors comme il suit :</w:t>
      </w:r>
    </w:p>
    <w:p>
      <w:r>
        <w:t>- 10 - - base mensuelle selon normes OPF fr. 600.00 - participation aux frais de logement (15% de 1’810 fr.) fr. 271.50 - prime d’assurance-maladie (base) fr. 0.00 Sous-total (minimum vital du droit des poursuites) fr. 871.50 - part aux impôts fr. 130.25 - prime d’assurance-maladie (complémentaire) fr. 44.50 Sous-total (minimum vital du droit de la famille) fr. 1'046.25 - déduction des allocations familiales fr. - 300.00 Total des coûts directs fr. 746.25 d) La prime mensuelle d’assurance-maladie obligatoire de l’enfant D.R.________ s’élève à 109 fr. 85 et est entièrement subsidiée. Sa prime d’assurances complémentaires s’élève à 30 fr. 50. Il est membre du club de foot « [...]» dont la cotisation annuelle s’élève à 220 francs. Les coûts directs de D.R.________ se présentent dès lors comme il suit : - base mensuelle selon normes OPF fr. 600.00 - participation aux frais de logement (15% de 1'810 fr.) fr. 271.50 - prime d’assurance-maladie (base) fr. 0.00 Sous-total (minimum vital du droit des poursuites) fr. 871.50 - part aux impôts fr. 130.25 - prime d’assurance-maladie (complémentaire) fr. 30.50 Sous-total (minimum vital du droit de la famille) fr. 1'032.25 - déduction des allocations familiales fr. - 300.00 Total des coûts directs fr. 732.25</w:t>
      </w:r>
    </w:p>
    <w:p>
      <w:r>
        <w:rPr>
          <w:b/>
        </w:rPr>
        <w:t>E. 5</w:t>
      </w:r>
    </w:p>
    <w:p>
      <w:r>
        <w:t>a) L’appelant disposait, au 21 janvier 2020, d’une prestation de sortie de prévoyance professionnelle acquise durant le mariage de 89'149 fr. 20 auprès de la Caisse [...].</w:t>
      </w:r>
    </w:p>
    <w:p>
      <w:r>
        <w:t>- 11 - b) L’intimée n’a pas cotisé à la prévoyance professionnelle durant le mariage.</w:t>
      </w:r>
    </w:p>
    <w:p>
      <w:r>
        <w:rPr>
          <w:b/>
        </w:rPr>
        <w:t>E. 5.1</w:t>
      </w:r>
    </w:p>
    <w:p>
      <w:r>
        <w:t>Se référant à l’arrêt CACI 22 septembre 2020/407 consid. 7.1.2, les premiers juges ont considéré qu’il n’y avait pas lieu de déduire l’entier de chacune des rentes complémentaires pour enfant des coûts directs de l’enfant auquel elle est destinée, au motif qu’une telle déduction aurait pour effet de faire supporter en plus à l’intimée, qui remplit déjà son obligation d’entretien en nature, une part importante du financement, en espèces, des coûts d’entretien des enfants et qu’il en résulterait une répartition inéquitable des efforts à fournir entre l’intimée et l’appelant. L’appelant soutient qu’en raisonnant de cette manière, les premiers juges ont violé l’art. 285a CC, en permettant en définitive à l’intimée de profiter des prestations d’assurance destinée aux enfants. L’intimée conteste ce point de vue, en faisant notamment valoir que les rentes complémentaires pour enfant servies à un parent gardien n’ont pas pour but d’alléger l’obligation d’entretien de l’autre parent, mais de compenser les éléments du revenu perdus par suite de la réalisation du risque d’invalidité et destinés à l’entretien convenable de la famille.</w:t>
      </w:r>
    </w:p>
    <w:p>
      <w:r>
        <w:rPr>
          <w:b/>
        </w:rPr>
        <w:t>E. 5.2</w:t>
      </w:r>
    </w:p>
    <w:p>
      <w:r>
        <w:t>En droit de la famille, les rentes perçues en remplacement d’un revenu du travail constituent un revenu (TF 5A_730/2020 du 21 juin 2021 consid. 5.1, plus clair sur ce point que l’ATF 147 III 265 consid. 7.1).</w:t>
      </w:r>
    </w:p>
    <w:p>
      <w:r>
        <w:t>- 15 -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Il s’ensuit que 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du 19 juin 1959 sur l’assurance-invalidité ; RS 831.20) constitue dès lors un revenu du parent invalide destiné à l’enfant, mais non un revenu de l’enfant (CACI 16 novembre 2020/485 consid. 7.3.4, non publié au JdT 2021 III 126).</w:t>
      </w:r>
    </w:p>
    <w:p>
      <w:r>
        <w:rPr>
          <w:b/>
        </w:rPr>
        <w:t>E. 5.3</w:t>
      </w:r>
    </w:p>
    <w:p>
      <w:r>
        <w:t>Aux termes de l’art. 285a CC – invoqué par l’appelant –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w:t>
      </w:r>
    </w:p>
    <w:p>
      <w:r>
        <w:t>- 16 -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Code civil par la modification du 20 mars 2015 concernant l’entretien de l’enfant (RO 2015 4299). Dans le message du Conseil fédéral concernant la révision du code civil suisse (Entretien de l’enfant du 29 novembre 2013, FF 2013 p. 511 ss [ci-après : Message]), qui a proposé cette modification, le seul exemple d’application de l’art. 285a al. 1 CC donné dans le commentaire consacré à cette disposition (FF 2013 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 « Selon ce mode de calcul, si le parent tenu de verser la contribution d’entretien [souligné par la réd.] touche une allocation familiale, une rente d’assurance sociale ou une autre prestation destinée à l’enfant, celle-ci est en fin de compte toujours versée en sus de la contribution d’entretien » (Message, p. 559). Au vu de ce qui précède, l’art. 285a al. 2 CC ne trouve application que lorsque le bénéficiaire de la rente d’assurance sociale ou de l’autre prestation périodique destinée à l’enfant est le débiteur d’une contribution d’entretien, ce qui n’est pas le cas ici. En revanche, lorsqu’elles sont versées au parent gardien, ces rentes et prestations correspondent à une compensation de revenu de ce parent et ne doivent par principe, en tant que telles, pas être déduites pour le calcul de la contribution d’entretien de l’enfant. Il n’y a pas lieu non plus de les traiter comme un revenu de l’enfant (cf. supra consid. 5.1). Les rentes complémentaires et les autres prestations destinées à l’enfant doivent, dans cette hypothèse, être en effet traitées comme un revenu du parent en mains duquel les contributions doivent être payées.</w:t>
      </w:r>
    </w:p>
    <w:p>
      <w:r>
        <w:t>- 17 -</w:t>
      </w:r>
    </w:p>
    <w:p>
      <w:r>
        <w:rPr>
          <w:b/>
        </w:rPr>
        <w:t>E. 5.4</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p. 273 , avec réf. à l’ATF 114 II 26 consid. 5b p. 29),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w:t>
      </w:r>
    </w:p>
    <w:p>
      <w:r>
        <w:rPr>
          <w:b/>
        </w:rPr>
        <w:t>E. 5.4.3</w:t>
      </w:r>
    </w:p>
    <w:p>
      <w:r>
        <w:t>; TF 5A_727/2018 du 22 août 2019 consid. 4.3.2.2). Aussi, lorsque le parent au bénéfice d’une rente d’invalidité est le parent qui assume la garde exclusive, la rente complémentaire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 constituant elle-même un revenu, la rente complémentaire pour l’enfant octroyée au parent gardien sert à augmenter le train de vie de l’enfant, non à alléger la contribution due en espèces par le parent non gardien (ATF 108 II 83 consid. 2c, JdT 1983 I 608).</w:t>
      </w:r>
    </w:p>
    <w:p>
      <w:r>
        <w:rPr>
          <w:b/>
        </w:rPr>
        <w:t>E. 5.5</w:t>
      </w:r>
    </w:p>
    <w:p>
      <w:r>
        <w:t>En l’espèce, la rente a été octroyée à l’intimée, parent gardien. Il n’y a dès lors en principe pas lieu que l’appelant soit, comme il le demande, exclusivement tenu de s’acquitter de pensions correspondant au solde des coûts directs après déduction des allocations familiales et de la totalité des rentes complémentaires, augmenté d’une part de son disponible. Les rentes complémentaires octroyées à l’intimée et destinées aux enfants n’ont pas à être déduites des frais d’entretien de ceux-ci ; il doit en être tenu compte seulement pour déterminer s’il y a lieu, en raison d’une disproportion manifeste des revenus en présence, de déroger au</w:t>
      </w:r>
    </w:p>
    <w:p>
      <w:r>
        <w:t>- 18 - principe selon lequel l’appelant, parent non gardien, doit supporter l’entier des frais d’entretien en espèces des enfants.</w:t>
      </w:r>
    </w:p>
    <w:p>
      <w:r>
        <w:rPr>
          <w:b/>
        </w:rPr>
        <w:t>E. 6</w:t>
      </w:r>
    </w:p>
    <w:p>
      <w:r>
        <w:t>Par décision du 27 mai 2019, le président du tribunal a accordé le bénéfice de l’assistance judiciaire à l’intimée, avec effet au 12 avril 2019, et a désigné Me Serge Demierre en qualité de conseil d’office. En d roit : 1.</w:t>
      </w:r>
    </w:p>
    <w:p>
      <w:r>
        <w:rPr>
          <w:b/>
        </w:rPr>
        <w:t>E. 6.1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6.1.1</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infra consid. 6.1.3), le montant qui manque doit être indiqué dans la convention ou le jugement fixant l’entretien (art. 287a let. c CC et 301a let. c CPC).</w:t>
      </w:r>
    </w:p>
    <w:p>
      <w:r>
        <w:rPr>
          <w:b/>
        </w:rPr>
        <w:t>E. 6.1.2</w:t>
      </w:r>
    </w:p>
    <w:p>
      <w:r>
        <w:t>Dans un arrêt du 11 novembre 2020 (ATF 147 III 265), le Tribunal fédéral a considéré que pour arrêter les coûts directs de l’enfant (Barunterhalt), il y avait lieu de se fonder, comme pour la contribution de prise en charge, sur la méthode des frais de subsistance (Lebenshaltungskosten)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consid. 6.6 in fine).</w:t>
      </w:r>
    </w:p>
    <w:p>
      <w:r>
        <w:t>- 19 -</w:t>
      </w:r>
    </w:p>
    <w:p>
      <w:r>
        <w:rPr>
          <w:b/>
        </w:rPr>
        <w:t>E. 6.1.3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précité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6.1.4</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puis des forfaits pour la télécommunication et les</w:t>
      </w:r>
    </w:p>
    <w:p>
      <w:r>
        <w:t>- 20 -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d’assurance-maladie complémentaire (ATF 147 III 265, loc. cit.).</w:t>
      </w:r>
    </w:p>
    <w:p>
      <w:r>
        <w:rPr>
          <w:b/>
        </w:rPr>
        <w:t>E. 6.1.5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Si, au contraire, les moyens sont insuffisants, il faut régler les relations entre les différentes catégories d’entretien en jeu. L’ordre de</w:t>
      </w:r>
    </w:p>
    <w:p>
      <w:r>
        <w:t>- 21 -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w:t>
      </w:r>
    </w:p>
    <w:p>
      <w:r>
        <w:rPr>
          <w:b/>
        </w:rPr>
        <w:t>E. 6.2</w:t>
      </w:r>
    </w:p>
    <w:p>
      <w:r>
        <w:t>Dans le cas présent, le montant nécessaire chaque mois à l’entretien convenable d’C.R.________ s’élève à 1'046 fr. 25 (soit 600 fr. de montant de base, 271 fr.50 de participation aux frais de logement, 130 fr. 25 de part d’impôt et 44 fr. 50 de prime d’assurance-maladie complémentaire ; cf. jugement, p. 28/29 et pièce 13 de 1ère instance pour les primes d’assurance-maladie). Après déduction des allocations familiales, par 300 fr., la part des coûts directs qui doit en principe être couverte par le parent non gardien est de 746 fr.25. Le montant nécessaire chaque mois à l’entretien convenable de D.R.________ s’élève à 1’032 fr. 25 (soit 600 fr. de base, 271 fr.50 de participation aux frais de logement, 130 fr. 25 de part d’impôt et 30 fr. 50 de prime d’assurance-maladie complémentaire ; cf. jugement, p. 28/29 et pièce 13 de 1ère instance pour les primes d’assurance-maladie). Après déduction des allocations familiales, par 300 fr., la part des coûts directs qui doit en principe être couverte par le parent non gardien est de 732 fr. 25. Les charges mensuelles de l’intimée se montent à 2'829.25 fr. (soit 1'350 fr. de base, 1'267 fr. de frais résiduels de logement, 50 fr. de frais de parking, 130 fr. 25 de part d’impôt et 32 fr. de primes d’assurance-maladie complémentaire). Compte tenu de la rente principale d’invalidité de 1'212 fr. par mois, mais compte non tenu des rentes complémentaires pour enfant ni des prestations complémentaires et de l’aide sociale, qui sont subsidiaires aux obligations familiales (TF</w:t>
      </w:r>
    </w:p>
    <w:p>
      <w:r>
        <w:t>- 22 - 5A_128/2016 du 22 août 2016 consid. 5.1.4.1 ; TF 5A_465/2020 du 23 novembre 2020 consid. 4.2 et 4.4), le budget de l’intimée accuse un déficit mensuel de 1'617 fr. 25. Enfin, compte tenu de sa séparation et de son déménagement, les charges mensuelles de l’appelant se montent à 4'548 fr. 20 (soit 1'200 fr. de base, 1'350 fr. de loyer, 277 fr. 55 de primes d’assurance-maladie de base, 238 fr.70 de frais de repas, 428 fr. 35 de frais de transport, 799 fr.35 d’impôts [montant calculé sur la base d’un revenu de 6'108 fr. 40 net par mois et après déduction de 1'480 fr. de pensions mensuelles, à [...], pour une personne seule], 150 fr. de frais d’exercice du droit de visite et 104 fr. 25 de primes d’assurance-maladie complémentaire), ce qui lui laisse un disponible de 1'560 fr.20 par mois net. Dans les circonstances de la présente cause, il se justifie de mettre l’entier des coûts directs des enfants à la charge de l’appelant, sans déduction des rentes complémentaires. Certes, une fois les coûts directs des enfants payés, il restera à l’appelant un disponible résiduel d’un montant arrondi à 82 fr. (1'560.20 - 746.25 - 732.25) – qui est trop modeste pour qu’il y ait lieu de le partager – alors qu’il restera pour chacun des enfants la rente complémentaire de 486 francs. Dans la situation des parties, cette apparente disproportion n’a cependant rien de choquant, une fois rappelé que les rentes complémentaires pour enfant seront prises en compte comme revenu pour le calcul des prestations complémentaires ou d’aide sociale que l’intimée devra solliciter (cf. art. 11 al. 1 let. d LPC [loi fédérale du 6 octobre 2006 sur les prestations complémentaires à l’AVS et à l’AI ; RS 831.30] et 26 al. 2 let. h RLASV [règlement du 26 octobre 2005 d’application de la loi du 2 décembre 2003 sur l’action sociale vaudoise ; BLV 850.051.1]) et que les rentes complémentaires seront de fait indirectement affectées aux frais de subsistance de l’intimée, qui subit un déficit de 1'617 fr. 25, et non à l’accroissement du train de vie des enfants – de sorte qu’en réalité, elles ne constituent pas un disponible pour les enfants.</w:t>
      </w:r>
    </w:p>
    <w:p>
      <w:r>
        <w:t>- 23 - Dans ces conditions, il convient non seulement de rejeter l’appel, mais de réformer d’office le jugement in pejus, en ce sens que l’appelant paiera chaque mois un montant arrondi à 745 fr. pour l’entretien d’C.R.________ et un montant arrondi à 735 fr. pour l’entretien de D.R.________. Enfin, il n’y a pas lieu de préciser le montant de l’entretien convenable des enfants dans le dispositif du présent arrêt, dans la mesure où celui-ci est entièrement couvert par les contributions d’entretien mises à la charge du parent non gardien (art. 301a let. c CPC et 286a CC ; cf. Message concernant la révision du code civil suisse [Entretien de l’enfant] du 29 novembre 2013, FF 2014 511, p. 561 ; CACI 3 février 2020/49 consid. 5 ; CACI 27 août 2018/483 consid. 8.2).</w:t>
      </w:r>
    </w:p>
    <w:p>
      <w:r>
        <w:rPr>
          <w:b/>
        </w:rPr>
        <w:t>E. 7</w:t>
      </w:r>
    </w:p>
    <w:p>
      <w:r>
        <w:t>Lorsqu’il fixe une contribution d’entretien dans un jugement au fond pour un enfant mineur, le tribunal doit en prévoir l’indexation, au besoin d’office (cf. Wullschleger, in FamKomm Scheidung, vol 1, 4e éd., n. 3 ad art. 286 CC p. 1188). En l’espèce, l’appelant a porté en deuxième instance la question de la fixation des contributions d’entretien en faveur des deux enfants mineurs des parties, laquelle inclut leur éventuelle indexation. Les premiers juges ayant omis de statuer sur cette dernière question et les parties ayant été interpellées, le dispositif du jugement doit être complété d’office par l’indexation des pensions.</w:t>
      </w:r>
    </w:p>
    <w:p>
      <w:r>
        <w:rPr>
          <w:b/>
        </w:rPr>
        <w:t>E. 8.1</w:t>
      </w:r>
    </w:p>
    <w:p>
      <w:r>
        <w:t>Selon l’art. 318 al. 3 CPC, si l’instance d’appel statue à nouveau, elle se prononce sur les frais – soit les frais judiciaires et les dépens (art. 95 al. 1 CPC) – de la première instance.</w:t>
      </w:r>
    </w:p>
    <w:p>
      <w:r>
        <w:rPr>
          <w:b/>
        </w:rPr>
        <w:t>E. 8.1.1</w:t>
      </w:r>
    </w:p>
    <w:p>
      <w:r>
        <w:t>Les frais doivent être mis à la charge de la partie succombante (art. 106 al. 1 CPC). Lorsqu’aucune des parties n’obtient entièrement gain</w:t>
      </w:r>
    </w:p>
    <w:p>
      <w:r>
        <w:t>- 24 -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Dans les affaires familiales, les frais peuvent aussi être répartis en équité (art. 107 al. 1 let. c CPC).</w:t>
      </w:r>
    </w:p>
    <w:p>
      <w:r>
        <w:rPr>
          <w:b/>
        </w:rPr>
        <w:t>E. 8.1.2</w:t>
      </w:r>
    </w:p>
    <w:p>
      <w:r>
        <w:t>Dans le cas présent, les premiers juges ont, sous réserve de l’assistance judicaire, mis les frais par moitié à la charge de chacune des parties et compensé les dépens, au motif que les parties avaient transigé sur la plupart des questions et qu’aucune d’elles n’avait obtenu l’allocation de l’entier de ses conclusions sur l’objet resté litigieux, à savoir sur les contributions d’entretien dues aux enfants. Cette analyse demeure fondée, même après la reformatio in pejus du jugement. La répartition des frais opérée par les premiers juges sera dès lors confirmée.</w:t>
      </w:r>
    </w:p>
    <w:p>
      <w:r>
        <w:rPr>
          <w:b/>
        </w:rPr>
        <w:t>E. 8.2</w:t>
      </w:r>
    </w:p>
    <w:p>
      <w:r>
        <w:t>En revanche, au regard des contributions d’entretien finalement fixées, il convient de considérer que l’appelant succombe, de sorte qu’il supportera les frais judiciaires de deuxième instance, arrêtés à 600 fr. (art. 63 al. 1 TFJC [Tarif des frais judiciaires civils du 28 septembre 2010, BLV 270.11.5] et 106 al. 1 CPC). Dans la mesure où celui-ci est au bénéfice de l’assistance judiciaire, sa part sera toutefois provisoirement laissée à la charge de l’Etat (art. 122 al. 2 CPC).</w:t>
      </w:r>
    </w:p>
    <w:p>
      <w:r>
        <w:rPr>
          <w:b/>
        </w:rPr>
        <w:t>E. 8.3</w:t>
      </w:r>
    </w:p>
    <w:p>
      <w:r>
        <w:t>S’agissant de l’indemnité due au conseil d’office de l’appelant, Me Quentin Beausire a déposé une liste de ses opérations le 27 janvier 2022, faisant état d’un temps consacré au dossier de 8.5 heures, ainsi que de débours forfaitaires d’un montant correspondant à 2% de ses honoraires, soit à 30 fr. 60. Cette liste contient une opération « examen de la décision du Tarr » (0.6 heure) qui relève de la première instance ; les opérations ultérieures au présent arrêt étant comptées dans l’indemnité</w:t>
      </w:r>
    </w:p>
    <w:p>
      <w:r>
        <w:t>- 25 - octroyée par la Cour de céans, l’opération précitée du 26 août 2021 ne doit pas être indemnisée en deuxième instance. Me Beausire fait également état de onze courriels au client estimés à 0.20 heure chacun, soit un total de 2.2 heures, dont on ne comprend pas toute l’utilité dans cette procédure d’appel. La durée à indemnisé au titre de ces opérations doit être réduite à 1.1 heure, les autres courriels, soit celui du 26 août 2021 (0.15 heure, durant le délai d’appel) et celui du 23 décembre 2021 (0.1 heure, à réception de la réponse) étant en revanche admissibles. Le temps consacré à la confection du bordereau (0.2 heure), le 27 septembre 2021 doit être retranché dans la mesure où il s’agit de pur travail de secrétariat, qui n’a pas à être facturé au tarif avocat (CREC 18 novembre 2020/275 ; Juge délégué CACI 5 mai 2022/240). C’est ainsi un temps total de 6.6 heures qui sera retenu (8.5 - 0.6 - 1.1 - 0.2). Au tarif horaire de 180 fr. pour l'avocat (art. 2 al. 1 let. a RAJ [Règlement sur l'assistance judiciaire en matière civile, BLV 211.02.3]), l’indemnité d’office de Me Beausire peut ainsi être arrêtée à 1'188 fr. pour les honoraires, débours par 23 fr. 75 (2% x 1'188 fr. ; art. 3bis al. 1 RAJ) et TVA sur le tout par 93 fr. 30 en sus, soit à un montant total de 1'305 fr. 05, arrondi à 1'305 francs. S’agissant de l’indemnité due au conseil d’office de l’intimé, Me Serge Demierre a déposé une liste de ses opérations le 18 janvier 2022, faisant état d’un temps consacré au dossier de 5 heures et 10 minutes, ainsi que de débours forfaitaires d’un montant correspondant à 2% de ses honoraires, soit à 18 fr. 90 [recte : 18 fr. 60]. Le nombre d’heures indiqué ne prête pas le flanc à la critique. Au tarif horaire de 180 fr. pour l'avocat (art. 2 al. 1 let. a RAJ [Règlement sur l'assistance judiciaire en matière civile, BLV 211.02.3]), l’indemnité d’office de Me Demierre peut ainsi être arrêtée à 930 fr. pour les honoraires, débours par 18 fr. 60 (2% x 930 fr. ; art. 3bis al. 1 RAJ) et TVA sur le tout par 73 fr. 05 en sus, soit à un montant total de 1'021 fr. 65, arrondi à 1'022 francs. Les bénéficiaires de l’assistance judiciaire sont tenus au remboursement des frais judiciaires et des indemnités à leur conseil d’office, laissés provisoirement à la charge de l’Etat, dès qu’ils seront en mesure de le faire (art. 123 CPC).</w:t>
      </w:r>
    </w:p>
    <w:p>
      <w:r>
        <w:t>- 26 -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w:t>
      </w:r>
    </w:p>
    <w:p>
      <w:r>
        <w:rPr>
          <w:b/>
        </w:rPr>
        <w:t>E. 8.4</w:t>
      </w:r>
    </w:p>
    <w:p>
      <w:r>
        <w:t>Vu l’issue du litige, l’appelant devra en outre verser à l’intimée la somme de 1'500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