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TD19.021574 vom 20. Mai 2021</w:t>
      </w:r>
    </w:p>
    <w:p>
      <w:r>
        <w:t>VD Tribunal cantonal, 2021-05-20, FR</w:t>
      </w:r>
    </w:p>
    <w:p>
      <w:r>
        <w:rPr>
          <w:b/>
        </w:rPr>
        <w:t xml:space="preserve">Quelle: </w:t>
      </w:r>
      <w:r>
        <w:t>https://mcp.opencaselaw.ch/entscheid/vd_gerichte_TD19.021574</w:t>
      </w:r>
    </w:p>
    <w:p>
      <w:r>
        <w:t>FR: VD_GERICHTE TD19.021574 du 20 mai 2021</w:t>
      </w:r>
    </w:p>
    <w:p>
      <w:r>
        <w:t>IT: VD_GERICHTE TD19.021574 del 20 maggio 2021</w:t>
      </w:r>
    </w:p>
    <w:p>
      <w:pPr>
        <w:pStyle w:val="Heading2"/>
      </w:pPr>
      <w:r>
        <w:t>Erwägungen</w:t>
      </w:r>
    </w:p>
    <w:p>
      <w:r>
        <w:rPr>
          <w:b/>
        </w:rPr>
        <w:t>E. 3.1</w:t>
      </w:r>
    </w:p>
    <w:p>
      <w:r>
        <w:t>L’appelant fait valoir qu’il n’est pas en mesure de payer la contribution d’entretien mise à sa charge en faveur de son ex-épouse. A l’appui de ce grief, il explique qu’il vit seul avec sa fille qui a commencé à travailler en octobre 2020 et que leur situation financière est difficile. Il invoque de manière contradictoire qu’il fait l’objet d’une saisie de salaire ne lui laissant que son minimum vital à hauteur de 2'800 fr. et qu’il ne reçoit plus de salaire depuis un an car l’assurance n’a pas reçu tous les documents nécessaires de son médecin.</w:t>
      </w:r>
    </w:p>
    <w:p>
      <w:r>
        <w:rPr>
          <w:b/>
        </w:rPr>
        <w:t>E. 3.2</w:t>
      </w:r>
    </w:p>
    <w:p>
      <w:r>
        <w:t>L’art. 234 al. 1 CPC prévoit qu’en cas de défaut d’une partie à l’audience des débats principaux, le tribunal statue sur la base des actes qui ont, le cas échéant, été accomplis conformément aux dispositions de la loi. Il se base au surplus, sous réserve de l’art. 153 CPC, sur les actes de la partie comparante et sur le dossier. La maxime des débats s’applique à la procédure concernant les contributions d’entretien après le divorce (art. 277 al. 1 CPC), de sorte que la partie doit, si la loi ne prescrit le contraire, prouver les faits qu'elle allègue pour en déduire son droit (art. 8 CC). Il en résulte que la partie demanderesse doit prouver les faits qui fondent sa prétention, tandis que la partie adverse doit prouver les faits qui entraînent l'extinction ou la perte du droit (ATF 139 III 7 consid. 2.2 et les réf. citées). Ainsi, les faits qui empêchent la naissance d’un droit ou en provoquent l’extinction doivent être prouvés par la partie qui les allègue (ATF 139 III 7 précité ; ATF 132 III 186 consid. 8.3). Lorsque le juge ne parvient pas à constater un fait dont dépend le droit litigieux, il doit alors statuer au détriment de la partie qui aurait dû prouver ce fait (ATF 132 III 689 consid. 4.5 ;</w:t>
      </w:r>
    </w:p>
    <w:p>
      <w:r>
        <w:t>- 9 - TF 4A_119/2018 du 7 janvier 2019 consid. 5.2 ; TF 4A_569/2017 du 27 avril 2018 consid. 7).</w:t>
      </w:r>
    </w:p>
    <w:p>
      <w:r>
        <w:rPr>
          <w:b/>
        </w:rPr>
        <w:t>E. 3.3</w:t>
      </w:r>
    </w:p>
    <w:p>
      <w:r>
        <w:t>Les premiers juges ont constaté que le mariage des parties avait duré 23 ans. S’agissant d’un mariage de longue durée, il était présumé avoir produit une influence concrète sur la situation financière de l’intimée. Ils ont dès lors considéré, à juste titre, que le droit de l’intimée à une contribution d’entretien devait être admis dans son principe. L’appelant ne le conteste pas, comme il ne conteste pas le besoin de l’intimée de recevoir, au vu de ses charges, une pension de 1'500 francs. En fait, il invoque uniquement ne pas avoir les moyens financiers de payer une telle contribution. Les premiers juges ont ensuite relevé que le train de vie antérieur des parties n’avait été ni allégué ni établi et qu’on ignorait tout de l’activité professionnelle et des charges de l’appelant. Ils ont considéré qu’au vu de son expérience et de son parcours professionnel, ainsi que du fait qu’il n’était pas allégué qu’il serait atteint dans sa santé, l’appelant avait une pleine capacité de gain lui permettant de réaliser des revenus au moins équivalents à ceux qu’il percevait au moment de la séparation, à savoir des revenus de l’ordre de 5'000 fr. par mois pour une activité de ferrailleur. La pension requise de 1'500 fr. par mois devait être admise, dès lorsqu’il n’était là encore ni allégué ni prouvé que le paiement d’une telle somme entamerait le minimum vital de l’appelant. Selon les pièces produites de manière recevable par l’appelant, celui-ci a été en incapacité de travail à 100% en octobre et en décembre 2020. En revanche, il n’est pas établi de manière recevable qu’il ne pourrait plus du tout travailler, ni qu’il n’aurait plus droit aux indemnités journalières. L’appelant ne le soutient d’ailleurs pas. Pour le surplus, il n’expose pas ni n’établit de manière recevable qu’il ne pouvait pas et qu’il ne pourrait actuellement plus obtenir un revenu mensuel de 5'000 francs.</w:t>
      </w:r>
    </w:p>
    <w:p>
      <w:r>
        <w:t>- 10 - Les charges de l’appelant ne sont pas non plus attestées par des pièces, de sorte que rien n’indique qu’il ne peut pas payer la contribution d’entretien que les premiers juges ont mise à sa charge et que le jugement devrait donc être modifié pour cette raison. L’appelant invoque la situation financière difficile de sa fille aînée, qui l’aiderait à payer ses factures. Il explique qu’elle était en apprentissage et qu’elle a un travail depuis le mois d’octobre 2020. Il n’apparaît ainsi pas qu’elle serait encore en formation et aurait droit à une contribution d’entretien d’enfant majeur (art. 277 al. 2 CC). Il s’ensuit que la situation financière de D.I.________, non établie de manière recevable, n’a pas d’incidence dans l’examen des charges de l’appelant. Il résulte de ce qui précède que les griefs de l’appelant sont mal fondés. A noter que si l’appelant est réellement en incapacité de travail et de manière définitive, il lui appartiendra le moment venu de requérir une rente d’invalidité et, partant, une modification du jugement de divorce, avec l’assistance le cas échéant d’un mandataire professionnel qui pourra le représenter, éventuellement au bénéfice de l’assistance judiciaire.</w:t>
      </w:r>
    </w:p>
    <w:p>
      <w:r>
        <w:rPr>
          <w:b/>
        </w:rPr>
        <w:t>E. 4</w:t>
      </w:r>
    </w:p>
    <w:p>
      <w:r>
        <w:t>En définitive, l’appel, manifestement mal fondé, doit être rejeté selon le mode procédural de l’art 312 al. 1 in fine CPC et la décision confirmée. L’arrêt peut être rendu sans frais judiciaires de deuxième instance (art. 11 TFJC [tarif des frais judiciaires civils du 28 septembre 2010 ; BLV 270.11.5]). Il n’y a pas lieu à l’allocation de dépens, l’intimée n’ayant pas été invitée à se déterminer.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