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TD19.006782 vom 5. März 2021</w:t>
      </w:r>
    </w:p>
    <w:p>
      <w:r>
        <w:t>VD Tribunal cantonal, 2021-03-05, FR</w:t>
      </w:r>
    </w:p>
    <w:p>
      <w:r>
        <w:rPr>
          <w:b/>
        </w:rPr>
        <w:t xml:space="preserve">Quelle: </w:t>
      </w:r>
      <w:r>
        <w:t>https://mcp.opencaselaw.ch/entscheid/vd_gerichte_TD19.006782</w:t>
      </w:r>
    </w:p>
    <w:p>
      <w:r>
        <w:t>FR: VD_GERICHTE TD19.006782 du 5 mars 2021</w:t>
      </w:r>
    </w:p>
    <w:p>
      <w:r>
        <w:t>IT: VD_GERICHTE TD19.006782 del 5 marzo 2021</w:t>
      </w:r>
    </w:p>
    <w:p>
      <w:pPr>
        <w:pStyle w:val="Heading2"/>
      </w:pPr>
      <w:r>
        <w:t>Erwägungen</w:t>
      </w:r>
    </w:p>
    <w:p>
      <w:r>
        <w:rPr>
          <w:b/>
        </w:rPr>
        <w:t>E. 3.1</w:t>
      </w:r>
    </w:p>
    <w:p>
      <w:r>
        <w:t>Dans un premier moyen, l'appelant fait grief au premier juge d'avoir violé son droit à la preuve, et donc son droit d'être entendu, au motif que le magistrat n'aurait pas ordonné la production des pièces 251</w:t>
      </w:r>
    </w:p>
    <w:p>
      <w:r>
        <w:t>- 12 - et 252 qu'il avait requises en mains de l'intimée. Il soutient qu'il n'aurait jamais renoncé à la production de ces titres et que l'autorité précédente n'aurait pas motivé sa décision de ne pas donner suite à cette réquisition par une appréciation anticipée des preuves. L'ordonnance devrait ainsi être annulée pour ce motif.</w:t>
      </w:r>
    </w:p>
    <w:p>
      <w:r>
        <w:rPr>
          <w:b/>
        </w:rPr>
        <w:t>E. 3.2</w:t>
      </w:r>
    </w:p>
    <w:p>
      <w:r>
        <w:t>Aux termes de l'art. 152 al. 1 CPC, toute partie a droit à ce que le tribunal administre les moyens de preuve adéquats proposés régulièrement et en temps utile. Le droit à la preuve suppose qu'un fait doive être prouvé (art. 150 al. 1 CPC), qu'il soit pertinent, qu'il ne soit pas déjà prouvé, qu'il soit allégué de manière suffisamment motivée, que la preuve en ait été régulièrement offerte en temps utile selon les règles de la procédure et que les moyens de preuve soient admissibles et adéquats (ATF 143 III 297 consid. 9.3.2 ; ATF 135 III 295 consid. 7.1 ; TF 5A_753/2018 du 1er juillet 2019 consid. 2.1.1.1 ; TF 5A_113/2018 du 12 septembre 2018 consid. 4.2.1.1, non publié à l'ATF 144 III 541).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publié in RSPC 2014 p. 254 avec note de Bohnet).</w:t>
      </w:r>
    </w:p>
    <w:p>
      <w:r>
        <w:t>- 13 -</w:t>
      </w:r>
    </w:p>
    <w:p>
      <w:r>
        <w:rPr>
          <w:b/>
        </w:rPr>
        <w:t>E. 3.3</w:t>
      </w:r>
    </w:p>
    <w:p>
      <w:r>
        <w:t>En l'espèce, à l'appui de son procédé écrit du 19 mai 2020, l'appelant a requis la production, en mains de l'intimée, de tout document permettant d'établir les revenus perçus par celle-ci, en particulier ses contrats de travail et décomptes de salaire « de janvier 2017 à ce jour » (P. 251), des extraits de ses comptes bancaires (P. 252), de tout document permettant d'établir ses charges mensuelles (P. 253) et de tout document permettant d'établir ses recherches d'emploi (P. 254). Le 26 mai 2020, l'autorité précédente a ordonné production, en mains de l'intimée, des pièces 253 et 254 précitées. Lors de l'audience de premières plaidoiries et de mesures provisionnelles du 18 juin 2020, le premier juge a clos l'instruction des mesures provisionnelles sous réserve de la production, par l'appelant d'une part, de toute pièce relative à son concubinage ainsi qu'à la faculté pour sa concubine de contribuer aux frais du ménage et, par l'intimée d'autre part, de « toute éventuelle pièce relative à ses recherches d'emploi depuis juillet 2019 à ce jour ainsi qu'à sa capacité de gain durant cette période et pour les prochains mois ». Lors de l'instruction des premières plaidoiries, l'appelant a maintenu ses réquisitions de production de certaines pièces dans la procédure au fond, à savoir les pièces 51-54 et 56. On constate ainsi que l'appelant n'a rien fait valoir dans le cadre des mesures provisionnelles au sujet des pièces requises 251 et 252 et ne s'est pas opposé à la clôture de la procédure probatoire de ces mesures.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A fortiori, l'appelant ne peut donc pas revenir sur son omission de s'opposer à la clôture de l'instruction pour obtenir l'annulation de l'ordonnance et le renvoi de la cause en première instance. En outre, le premier juge n'avait ainsi pas davantage à expliquer dans l'ordonnance querellée les raisons</w:t>
      </w:r>
    </w:p>
    <w:p>
      <w:r>
        <w:t>- 14 - pour lesquelles il n'avait pas été donné suite à la réquisition de production des pièces 251 et 252. Le moyen est infondé.</w:t>
      </w:r>
    </w:p>
    <w:p>
      <w:r>
        <w:rPr>
          <w:b/>
        </w:rPr>
        <w:t>E. 4.1</w:t>
      </w:r>
    </w:p>
    <w:p>
      <w:r>
        <w:t>Se prévalant d'une violation de l'art. 229 CPC, l'appelant fait grief au premier juge d'avoir admis les pièces produites par l'intimée le 16 septembre 2020, alors que l'instruction des mesures provisionnelles avait été close à l'issue de l'audience du 18 juin 2020, sous réserve de la production notamment par l'intimée de certaines pièces. Il soutient que les pièces produites le 16 septembre 2020 sortiraient de ce cadre et auraient dû être déclarées irrecevables, ce qui devrait conduire à l'annulation de l'ordonnance, ce d'autant que le premier juge aurait tenu compte de ces titres pour rendre la décision querellée.</w:t>
      </w:r>
    </w:p>
    <w:p>
      <w:r>
        <w:rPr>
          <w:b/>
        </w:rPr>
        <w:t>E. 4.2</w:t>
      </w:r>
    </w:p>
    <w:p>
      <w:r>
        <w:t>Selon l'art. 229 al. 1 CPC, les faits et moyens de preuve nouveaux ne sont admis aux débats principaux que s'ils sont invoqués sans retard et qu'ils sont postérieurs à l'échange d'écritures ou à la dernière audience d'instruction (novas proprement dits) (let. a) ou qu'ils existaient avant la clôture de l'échange d'écritures ou la dernière audience d'instruction mais ne pouvaient être invoqués antérieurement bien que la partie qui s'en prévaut ait fait preuve de la diligence requise (novas improprement dits) (let. b). S'il n'y a pas eu de second échange d'écritures ni de débats d'instruction, les faits et moyens de preuves nouveaux sont admis à l'ouverture des débats principaux (art. 229 al. 2 CPC). Lorsqu'il doit établir les faits d'office, le tribunal admet des faits et moyens de preuve nouveaux jusqu'aux délibérations (art. 229 al. 3 CPC).</w:t>
      </w:r>
    </w:p>
    <w:p>
      <w:r>
        <w:rPr>
          <w:b/>
        </w:rPr>
        <w:t>E. 4.3</w:t>
      </w:r>
    </w:p>
    <w:p>
      <w:r>
        <w:t>En l'espèce, lors de l'audience du 18 juin 2020, le premier juge a imparti un délai de dix jours à l'intimée pour produire « toute éventuelle pièce relative à ses recherches d'emploi depuis juillet 2019 à ce jour » et</w:t>
      </w:r>
    </w:p>
    <w:p>
      <w:r>
        <w:t>- 15 - « à sa capacité de gain durant cette période et pour les prochains mois ». Il a ensuite clos l'instruction de mesures provisionnelles sous réserve de la production de ces pièces, ainsi que de celles-ci requises en mains de l'appelant. Après avoir sollicité et obtenu des prolongations de délai, l'intimée a produit le 16 septembre 2020, tant en rapport avec les mesures provisionnelles qu'avec la procédure au fond, un bordereau complémentaire de quatre pièces. Les pièces 104bis et 113bis sont des certificats médicaux établis le 7 septembre 2020 faisant état d'une incapacité de travail totale de l'intimée entre le 1er février 2018 et 30 septembre 2020 (P. 104bis) et une autorisation signée par l'intéressée le</w:t>
      </w:r>
    </w:p>
    <w:p>
      <w:r>
        <w:rPr>
          <w:b/>
        </w:rPr>
        <w:t>E. 8</w:t>
      </w:r>
    </w:p>
    <w:p>
      <w:r>
        <w:t>septembre 2020 afin que le médecin-conseil du Service de prévoyance et d’aide sociales, dans le cadre de l'évaluation de ses capacités à entrer dans un projet d'insertion, puisse contacter ses médecins traitants. La pièce 108 est constituée d’un document attestant de la valeur ARGUS d'un véhicule [...] et de la carte grise de celui-ci. La pièce 113, à savoir toutes pièces établissant les recherches d'emploi de l'intimée « de juillet 2019 à ce jour », n'a pas été produite (mention « à produire »). Les titres 104bis et 113bis concernent l'état de santé de l'intimée et constituent donc des pièces relatives à « sa capacité de gain durant cette période [Réd. depuis juillet 2019 à ce jour] et pendant les prochains mois » comme mentionné dans le procès-verbal de l'audience précitée. On ne voit donc pas pourquoi ces pièces auraient dû être considérées comme nouvelles car elles sortiraient du cadre pour lequel l'instruction des mesures provisionnelles n'a pas été close. L'appelant ne s'en explique du reste pas. En ce qui concerne la pièce 108, on ne voit pas dans l'ordonnance entreprise la mention de la valeur du véhicule précité. Ce titre n'a donc aucune pertinence dans le cadre de la présente procédure d'appel et son retranchement ne changerait rien à l'issue de la cause. Le moyen est infondé.</w:t>
      </w:r>
    </w:p>
    <w:p>
      <w:r>
        <w:t>- 16 - 5. 5.1 L'appelant reproche au premier juge d'avoir retenu que son revenu mensuel net s'élevait à 5'245 francs. Sans motiver plus amplement son grief, il soutient que sans tenir compte des heures supplémentaires, lesquelles varieraient d'année en année, il n'apparaîtrait « pas arbitraire de retenir un revenu mensuel de 4'750 fr., allocations familiales et indemnités repas déduites ». L'autorité précédente a retenu que depuis 2018, l'appelant travaillait en qualité de monteur sanitaire auprès de [...] et percevait à ce titre un revenu mensuel net de « 5'245 fr. (5'950 fr. brut - 17.075% de déductions x 13/12 - 50 fr./mois en moyenne carence maladie - 50 fr. frais véhicule privé), hors allocations familiales, indemnité pour repas et indemnité pour heures de travail allant au-delà d'un 100% ». 5.2 En l'espèce, on constate que le premier juge a déterminé le revenu mensuel net de l'appelant en se fondant sur le salaire mensuel brut ressortant des fiches de salaire des mois à janvier à avril 2020, duquel il a déduit les cotisations sociales mentionnées sur celles-ci, une moyenne mensuelle des retenues « carence maladie » et la retenue pour frais de véhicule privé, en indiquant expressément qu'il ne tenait pas compte des indemnités pour heures supplémentaires. Seule la fiche de salaire du mois d'avril 2020 fait état d'une indemnité pour heures supplémentaires intitulée « paiement horaire mobile 125% », versée en sus du salaire mensuel brut de base de 5'950 francs. On discerne ainsi mal en quoi le premier juge aurait tenu compte d'heures supplémentaires variables dès lors qu'il s'est fondé sur le salaire mensuel brut mentionné dans toutes les fiches de salaires précitées, en indiquant qu'il ne prenait pas en considération les indemnités « pour heures de travail allant au-delà d'un 100% », lesquelles sont différenciées du salaire mensuel brut sur les fiches de salaire. La manière dont l'autorité précédente a calculé le revenu mensuel net de l'appelant, qui n'est du reste pas spécifiquement remise en cause par l'intéressé, n'apparaît ainsi pas critiquable et doit être</w:t>
      </w:r>
    </w:p>
    <w:p>
      <w:r>
        <w:t>- 17 - confirmée. On relèvera au surplus que l'appelant n'explicite pas les paramètres qu'il prend en compte pour aboutir à la conclusion que son revenu mensuel net serait de 4'750 fr. comme il le prétend. Cela étant, à supposer que le premier juge ait tenu compte des heures supplémentaires réalisées par l'appelant, cette approche ne serait pas davantage critiquable. On rappellera en effet que dans la recherche des moyens disponibles pour couvrir l'entretien convenable de tous les membres de la famille, le juge doit prendre en considération tous les revenus du travail (TF 5A 311/2019 du 11 novembre 2020 consid. 7.1, destiné à la publication). De plus, en cas de situation financière serrée et lorsque le juge ordonne des mesures valables uniquement pour une durée limitée, des heures supplémentaires régulièrement accomplies et rémunérées peuvent être prises en considération : il ne s'agit alors pas de contraindre le débirentier à en réaliser, ni d'examiner la situation sous l'angle du revenu hypothétique, mais de tenir compte de la situation effective (TF 5P.172/2002 du 6 juin 2002 consid. 2.1, publié in FamPra.ch 2002 p. 809). 6. 6.1 L'appelant fait grief au premier juge de ne pas avoir imputé de revenu hypothétique à l'intimée. Il soutient que l'OAI aurait considéré que l'intéressée avait une capacité de travail exigible dans une activité adaptée à ses limitations fonctionnelles depuis le 1er décembre 2017 et qu'elle n'aurait plus droit à une rente d'invalidité depuis le 1er mars 2018, de sorte qu'elle serait en mesure de travailler, en précisant que les certificats médicaux produits par l'intimée en première instance auraient dû être déclarés irrecevables. Il ajoute que l'autorité précédente aurait écarté à tort les rapports médicaux ayant servi de base pour la décision de l'OAI pour se fonder sur les certificats du médecin généraliste de l'intimée, dont la force probante devrait être relativisée. Il prétend encore que l'intimée n'aurait pas un faible niveau de français car elle serait arrivée en Suisse en 2007 et que cette circonstance n'aurait de toute manière jamais été un obstacle puisque l'intéressée aurait travaillé par le passé. Il fait</w:t>
      </w:r>
    </w:p>
    <w:p>
      <w:r>
        <w:t>- 18 - également valoir que l'intimée n'aurait pas effectué les recherches d'emploi que l'on pouvait raisonnablement exiger d'elle depuis la séparation des parties et que son âge ne constituerait pas davantage un obstacle pour retrouver du travail. Il en conclut que l'intimée aurait la possibilité effective d'exercer une activité lucrative dans l'un des domaines mentionnés par l'OAI, ou dans son ancien domaine d'activité, et réaliser ainsi un revenu mensuel net hypothétique de 3'971 francs. L'autorité précédente a retenu que l'intimée, âgée de 54 ans, émargeait toujours à l'aide sociale et que son niveau de français était faible, au point que c'était son assistante sociale qui devait s'entretenir avec les entreprises contactées en vue de trouver un emploi. Son état de santé était manifestement mauvais, puisqu'elle bénéficiait de certificats médicaux attestant de son incapacité de travail depuis l'année 2014 et que son incapacité de travail avait été totale ces deux dernières années ; elle présentait en outre des limitations fonctionnelles selon la décision de l'OAI du 9 décembre 2019. L'intéressée ne disposait par ailleurs pas de diplômes et n'avait pas travaillé depuis de nombreuses années, la pandémie actuelle rendant encore plus difficile l'obtention d'un emploi. Compte tenu de ces éléments, le premier juge a considéré qu'aucun revenu hypothétique ne pouvait être imputé à l'intimée, quand bien même celle-ci avait travaillé à 100% durant de nombreuses années, pendant la vie commune, notamment lorsque les parties vivaient en [...], et qu'en l'état, le principe de solidarité devait encore prévaloir. 6.2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En particulier, lorsqu'il ressort des faits que l'un des parents ne fournit pas tous les efforts que l'on peut attendre de lui pour assumer son obligation d'entretien, le juge peut imputer un revenu hypothétique. Il s'agit ainsi</w:t>
      </w:r>
    </w:p>
    <w:p>
      <w:r>
        <w:t>- 19 - d'inciter la personne à réaliser le revenu qu'elle est en mesure de se procurer et que l'on peut raisonnablement exiger qu'elle obtienne afin de remplir ses obligations à l'égard du mineur (TF 5A_256/2015 du 13 août 2015 consid. 3.2.1 et les références citées ; TF 5A_634/2013 du 12 mars 2014 consid. 3.1.2 ; TF 5A_587/2013 du 26 novembre 2013 consid. 6.1.1).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 TF 5A_235/2016 du 15 août 2016 consid. 4.1 ; TF 5A_154/2016 du 19 mai 2016 consid. 5.1 et les références citées). Selon la jurisprudence récente du Tribunal fédéral, la capacité de travail existante doit être complètement exploitée et il y a une certaine astreinte à l'effort ; toutefois, l'astreinte à l'effort trouve évidemment ses limites dans la réalité concrète et il ne faut pas retenir des revenus hypothétiques irréalistes (TF 5A_311/2019 du 11 novembre 2020 consid. 7.4, destiné à la publication).</w:t>
      </w:r>
    </w:p>
    <w:p>
      <w:r>
        <w:t>- 20 - 6.3 En l'espèce, il est constant que l'état de santé de l'intimée est mauvais compte tenu des éléments du dossier. On rappellera à cet égard que toute incapacité de travail, même médicalement attestée, ne donne pas encore droit à une rente d'assurance invalidité (TF 5A_455/2019 du 23 juin 2020 consid. 5). Partant, le fait que l'intimée ne perçoive plus une telle rente n'est donc pas un critère suffisant pour considérer que son état de santé permet de lui imputer un revenu hypothétique. L'appelant conteste la valeur probante des certificats médicaux établis par le Dr [...] (P. 104 et 104bis), médecin traitant de l'intimée, qui auraient été établis « à la demande de la patiente ». Il est cependant usuel que de tels certificats soient requis lorsqu'un patient à quelque chose à certifier, ce qui est à peu près la seule utilité ce genre de documents. Pour le reste, comme on l'a vu (cf. supra consid. 4.3), les certificats produits sous pièce 108bis n'ont pas à être retranchés du dossier. De plus, comme les critères d'évaluation de la capacité de travail sont différents en ce qui concerne l'AI et le droit de la famille, on ne peut pas reprocher au premier juge d'avoir donné foi aux constatations du médecin traitant de l'intimée, ce d'autant que celui-ci a attesté d'une incapacité de travail postérieurement à la décision de l'OAI du 9 décembre 2019 et aux documents médicaux ayant servis de base à cette décision. Quant aux lacunes en français de l'intimée retenues par l'autorité précédente, elles ne sont pas valablement remises en cause par l'appelant dès lors qu'il se contente d'indiquer que l'intéressée serait arrivée en Suisse en 2007 et que ces prétendues lacunes n'auraient jamais été un obstacle par le passé. Il ne discute pas davantage l'élément factuel mis en avant dans l'ordonnance, selon lequel l'assistante sociale de l'intimée devait servir d'intermédiaire pour contacter des employeurs potentiels. Partant, vu la situation médicale de l'intimée, ses lacunes en français et la durée de son éloignement du monde du travail – à savoir depuis 2015 –, on peut effectivement considérer que ses chances de retrouver un emploi à court terme sont inexistantes. Dans ce contexte, le</w:t>
      </w:r>
    </w:p>
    <w:p>
      <w:r>
        <w:t>- 21 - fait que l'intéressée n'aurait pas effectué les recherches d'emploi que l'on pouvait raisonnablement exigé d'elle n'est d'aucun secours à l'appelant. Compte tenu de ces éléments, l'appréciation du premier juge est fondée et doit être confirmée. Aucun revenu hypothétique ne peut ainsi être imputé à l'intimée. 7. 7.1 En définitive, l'appel, manifestement infondé, doit être rejeté dans la mesure où il est recevable et l'ordonnance confirmée. Compte tenu de ce résultat, la requête d'effet suspensif est sans objet et la requête d'assistance judiciaire présentée par l'appelant doit être rejetée (art. 117 let. b CPC). 7.2 Vu l'issue de l'appel, les frais judiciaires de deuxième instance, arrêtés à 600 fr. (art. 65 al. 2 TFJC [Tarif des frais judiciaires civils du 28 septembre 2010 ; BLV 270.11.5]), seront mis à la charge de l'appelant (art. 106 al. 1 CPC). Il n'y a pas lieu à l'allocation de dépens de deuxième instance dès lors que l'intimée n'a pas été invitée à déposer une réponse (art. 312 al. 1 in fine CPC). Par ces motifs, le Juge délégué de la Cour d’appel civile prononce : I. L’appel est rejeté dans la mesure où il est recevable. II. L’ordonnance est confirmée.</w:t>
      </w:r>
    </w:p>
    <w:p>
      <w:r>
        <w:t>- 22 - III. La requête d’effet suspensif est sans objet. IV. La requête d’assistance judiciaire est rejetée. V. Les frais judiciaires de deuxième instance, arrêtés à 600 fr. (six cents francs), sont mis à la charge de l’appelant Q.________. VI. L’arrêt est exécutoire. Le juge délégué : Le greffier : Du Le présent arrêt, dont la rédaction a été approuvée à huis clos, est notifié à : - Me Dario Barbosa (pour Q.________), - Me Olga Collados Andrade (pour F.________),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- 23 -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