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TD19.005752 vom 25. März 2022</w:t>
      </w:r>
    </w:p>
    <w:p>
      <w:r>
        <w:t>VD Tribunal cantonal, 2022-03-25, FR</w:t>
      </w:r>
    </w:p>
    <w:p>
      <w:r>
        <w:rPr>
          <w:b/>
        </w:rPr>
        <w:t xml:space="preserve">Quelle: </w:t>
      </w:r>
      <w:r>
        <w:t>https://mcp.opencaselaw.ch/entscheid/vd_gerichte_TD19.005752</w:t>
      </w:r>
    </w:p>
    <w:p>
      <w:r>
        <w:t>FR: VD_GERICHTE TD19.005752 du 25 mars 2022</w:t>
      </w:r>
    </w:p>
    <w:p>
      <w:r>
        <w:t>IT: VD_GERICHTE TD19.005752 del 25 marzo 2022</w:t>
      </w:r>
    </w:p>
    <w:p>
      <w:pPr>
        <w:pStyle w:val="Heading2"/>
      </w:pPr>
      <w:r>
        <w:t>Erwägungen</w:t>
      </w:r>
    </w:p>
    <w:p>
      <w:r>
        <w:rPr>
          <w:b/>
        </w:rPr>
        <w:t>E. 2</w:t>
      </w:r>
    </w:p>
    <w:p>
      <w:r>
        <w:t>; CACI 1er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1er juillet 2019 consid. 3.2.1 et les références citées). Pour les questions relatives aux époux, en particulier sur la contribution d’entretien, le principe de disposition s’applique à l’objet du litige et la maxime des débats à l’établissement des faits. Le juge est ainsi lié par les</w:t>
      </w:r>
    </w:p>
    <w:p>
      <w:r>
        <w:t>- 11 -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3.1</w:t>
      </w:r>
    </w:p>
    <w:p>
      <w:r>
        <w:t>Aux termes de l’art. 179 al. 1 CC, à la requête d’un époux, le juge ordonne les modifications commandées par les faits nouveaux. Selon l'art. 286 al. 2 CC, si la situation change notablement, le père, la mère ou</w:t>
      </w:r>
    </w:p>
    <w:p>
      <w:r>
        <w:t>- 12 -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5A_400/2018 du 28 août 2018 consid. 3 ; TF 5A_190/2020 consid. 3).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du 20 avril 2021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TF 5A_190/2020 consid. 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5A_230/2019 du 31 janvier 2020 consid. 6.1, FamPra.ch 2020 p. 497 ; TF 5A_190/2020 consid. 3 ; TF 5A_760/2016 du 5</w:t>
      </w:r>
    </w:p>
    <w:p>
      <w:r>
        <w:t>- 13 - septembre 2017 consid. 5.1; TF 5A_562/2011 du 21 février 2012 consid. 4.3, rés. in RMA 2012 p. 300) Dans tous les cas, une modification est exclue lorsque le changement des circonstances découle d’un comportement propre, contraire au droit et constitutif d’abus de droit de la partie qui s’en prévaut (ATF 141 III 376 consid. 3.3.1 ; TF 5A_928/2016 du 22 juin 2017 consid. 3.2 ; Stoudmann, op. cit., p. 354).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TF 5A_217/2009 du 30 octobre 2009 consid. 3.2; TF 5P_445/2004 du 9 mars 2005 consid. 2.3 ; TF 5A_794/2020 du 3 décembre 2021 consid. 3.3). Dans tous les cas, la question de savoir si la période de chômage est durable dépend des circonstances concrètes de chaque cas d'espèce, en particulier de la situation économique (TF 5A_217/2009 du 30 octobre 2009 consid. 3.2; TF 5A_138/2015 du 1er avril 2015 consid. 4.1.1 ).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w:t>
      </w:r>
    </w:p>
    <w:p>
      <w:r>
        <w:t>- 14 - fait nouveau (TF 5A_477/2014 du 16 décembre 2014 consid. 4.1 ; TF 5A_260/2016 du 14 octobre 2016 consid. 2.1.2 ; TF 5A_760/2016 du 5 septembre 2017 consid. 5.1 ; TF 5A_190/2020 consid. 3). Le fardeau de la preuve des conditions de la modification de la contribution d’entretien revient à la partie qui s’en prévaut (TF 5A_96/2016 du 18 novembre 2016 consid. 3.1 ; Stoudmann, op. cit., p. 353 in fine et les réf. citées).</w:t>
      </w:r>
    </w:p>
    <w:p>
      <w:r>
        <w:rPr>
          <w:b/>
        </w:rPr>
        <w:t>E. 3.2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w:t>
      </w:r>
    </w:p>
    <w:p>
      <w:r>
        <w:rPr>
          <w:b/>
        </w:rPr>
        <w:t>E. 3.3.1</w:t>
      </w:r>
    </w:p>
    <w:p>
      <w:r>
        <w:t>Composent l’entretien convenable de l’enfant les coûts directs générés par celui-ci et les coûts, indirects, liés à sa prise en charge (ATF</w:t>
      </w:r>
    </w:p>
    <w:p>
      <w:r>
        <w:t>- 15 - 144 III 377 consid. 7).</w:t>
      </w:r>
    </w:p>
    <w:p>
      <w:r>
        <w:rPr>
          <w:b/>
        </w:rPr>
        <w:t>E. 3.3.2</w:t>
      </w:r>
    </w:p>
    <w:p>
      <w:r>
        <w:t>Dans un arrêt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3.3.3</w:t>
      </w:r>
    </w:p>
    <w:p>
      <w:r>
        <w:t>Les Lignes directrices pour le calcul du minimum vital du droit des poursuites (ci-après : Lignes directrices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w:t>
      </w:r>
    </w:p>
    <w:p>
      <w:r>
        <w:t>- 16 -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3.3.4</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En ce qui concerne la part d’impôt à intégrer dans les coûts directs de l’enfant, elle se justifie par le fait que le montant des</w:t>
      </w:r>
    </w:p>
    <w:p>
      <w:r>
        <w:t>- 17 -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références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(TF 5A_816/2019 précité consid. 4.2.3.5).</w:t>
      </w:r>
    </w:p>
    <w:p>
      <w:r>
        <w:rPr>
          <w:b/>
        </w:rPr>
        <w:t>E. 3.3.5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w:t>
      </w:r>
    </w:p>
    <w:p>
      <w:r>
        <w:t>- 18 -</w:t>
      </w:r>
    </w:p>
    <w:p>
      <w:r>
        <w:rPr>
          <w:b/>
        </w:rPr>
        <w:t>E. 3.4</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 Pour arrêter le montant du salaire, le juge peut éventuellement se baser sur l'enquête suisse sur la structure des salaires, réalisée par l'Office fédéral de la</w:t>
      </w:r>
    </w:p>
    <w:p>
      <w:r>
        <w:t>- 19 - statistique, ou sur d'autres sources comme les conventions collectives de travail (ATF 137 III 118 consid. 3.2; TF 5A_454/2017 du 17 mai 2018 consid. 6.1.1 non publié aux ATF 144 III 377). Le débirentier qui diminue volontairement son revenu alors qu'il savait, ou devait savoir, qu'il lui incombait d'assumer des obligations d'entretien peut se voir imputer le revenu qu'il gagnait précédemment, ce avec effet rétroactif au jour de la diminution (TF 5A_254/2019 du 18 juillet 2019 consid. 3.1). Si une activité est exercée à un taux inférieur à ce qui est exigible de l’intéressé, le juge peut prendre comme base le salaire réalisé, et l’adapter en fonction du taux d’activité exigible ; il n’a donc pas à rechercher les salaires qui ressortent du calculateur de salaires du SECO ou de l’enquête suisse sur la structure des salaires. De même, lorsque le débirentier exerçait déjà une activité lucrative à plein temps et assumait son obligation d’entretien préexistante, le revenu tiré de l’activité précédente peut servir de base à la fixation du revenu hypothétique, s’il est encore possible de le réaliser. Là également, le juge n’a pas à examiner s’il est raisonnablement possible d’exiger que l’intéressé augmente son revenu et s’il en a la possibilité effective, ni à préciser comment il peut concrètement augmenter ses revenus et quel type d’emploi serait envisageable (ATF 147 III 265 consid. 3.2 ; TF 5A_782/2016 du 31 mai 2017 consid. 5.4 ; Stoudmann, Le divorce en pratique, Entretien du conjoint et des enfants, Partage de la prévoyance professionnelle, Lausanne 2021, p. 67-70). On soulignera encore que le Tribunal fédéral estime désormais que l’on est droit d'attendre du parent se consacrant à la prise en charge de l'enfant qu'il recommence à travailler, en principe, à 50%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w:t>
      </w:r>
    </w:p>
    <w:p>
      <w:r>
        <w:t>- 20 - TF 5A_608/2019 du 16 janvier 2020 consid. 4.1.1 ; TF 5A_931/2017 du 1er novembre 2018 consid. 3.1.2). L’examen des exigences à remplir pour qu’on puisse considérer que le débirentier a tout mis en œuvre pour continuer à assumer son obligation d’entretien et qu’il a démontré son incapacité à trouver un autre poste avec une rémunération similaire à celle qu’il percevait précédemment relève de l’appréciation du juge, qui peut toutefois, sur ce point, se montrer large pour tenir compte des critères tel que l’âge de la personne à la recherche d’un emploi. L’intéressé doit cependant démontrer qu’il a entrepris tout ce qui était en son pouvoir pour mettre pleinement à profit sa capacité de gain et pouvoir ainsi continuer à assumer son obligation d’entretien (TF 5A_782/2016 consid. 5.3 ; Stoudmann, op. cit., p. 68). I. Du revenu de l’intimé</w:t>
      </w:r>
    </w:p>
    <w:p>
      <w:r>
        <w:rPr>
          <w:b/>
        </w:rPr>
        <w:t>E. 4.1</w:t>
      </w:r>
    </w:p>
    <w:p>
      <w:r>
        <w:t>L’ordonnance entreprise retient à titre de revenu hypothétique un revenu mensuel net de 7'339 fr. 55, arrondi à 7'340 fr., équivalent au revenu que l’intimé réalisait auprès de l’entreprise M.________Sàrl. L’intimé demande que soit pris en compte, comme il l’avait fait en première instance, son revenu actuel, par 5'357 francs 15, estimant qu’il ne peut gagner plus.</w:t>
      </w:r>
    </w:p>
    <w:p>
      <w:r>
        <w:rPr>
          <w:b/>
        </w:rPr>
        <w:t>E. 4.2.1</w:t>
      </w:r>
    </w:p>
    <w:p>
      <w:r>
        <w:t>L’ordonnance entreprise rappelle, d’une part, les motifs pour lesquels un revenu hypothétique avait été imputé à l’intimé par ordonnance de mesures provisionnelles rendue le 8 juillet 2019, confirmée en appel le 4 septembre 2019. Il avait été retenu que l’intimé, âgé alors de 47 ans, avait une bonne formation et que ses précédents employeurs avaient attesté de la qualité de ses services. Cela étant, l’intimé avait toutefois librement renoncé à une activité qui lui procurait un revenu à hauteur de 7'339 fr. 55 et n’avait pas rendu vraisemblable qu’il aurait entrepris de manière sérieuse de rechercher un emploi. En effet, il avait effectué très peu de postulations dans les domaines dans lesquels il était</w:t>
      </w:r>
    </w:p>
    <w:p>
      <w:r>
        <w:t>- 21 - qualifié (chef de projet ou chef d’équipe), alors qu’il ressortait des pièces produites par l’appelante que le profil de l’intimé était recherché sur le marché du travail. En ce qui concernait son état de santé, il avait été jugé réadaptable du point de vue de l’assurance-invalidité (AI) le 13 novembre 2018. Il était au demeurant relevé que l’intimé avait été déclaré inapte par l’ORP en mars 2016 pour avoir refusé un poste de conciergerie et qu’il avait été sanctionné en raison des recherches de travail insuffisantes. La CACI a également considéré qu’on pouvait attendre de l’intimé qu’il postule dans un autre domaine d’activité. L’ordonnance attaquée retient, d’autre part, que l’intimé n’a pas apporté d’élément nouveau rendant vraisemblable qu’il ne pourrait pas retrouver un poste de chef de projet similaire à celui qu’il occupait auprès de M.________Sàrl. S’il a produit une liste de plus de nonante recherches d’emploi depuis la reddition de l’arrêt d’appel du 4 septembre 2019 (pièce 1 du bordereau du 15 décembre 2020), il n’en restait pas moins qu’il était au bénéfice d’une grande expérience professionnelle, ce qui permettait raisonnablement d’espérer qu’il était en mesure de retrouver un poste de chef de projet en continuant ses recherches d’emploi. Les problèmes de santé allégués ne l’empêcheraient pas d’exercer un tel emploi. Pour ces motifs, le président a considéré que la prise d’emploi auprès de la société O.________SA ne remettait pas en cause les motifs précités d’imputation d’un revenu hypothétique arrondi à 7'340 francs.</w:t>
      </w:r>
    </w:p>
    <w:p>
      <w:r>
        <w:rPr>
          <w:b/>
        </w:rPr>
        <w:t>E. 4.2.2</w:t>
      </w:r>
    </w:p>
    <w:p>
      <w:r>
        <w:t>Comme en première instance, l’intimé soutient qu’en raison de son opération au pancréas, il ne pourrait plus faire des efforts physiques sur les chantiers, que ce soit en travaillant comme chef d’équipe, chef de chantier ou simple électricien. Il ajoute qu’il souffrirait d’une hernie discale, qui le handicape tout autant et dont il avait été opéré en 2017. A cet égard, la CACI a déjà retenu que la nécessité d’effectuer des efforts physiques soutenus était rendue vraisemblable pour les postes d’électricien de maintenance ou de service, mais non pour les postes de chef de chantier ou chef d’équipe, si bien que les douleurs dorsales</w:t>
      </w:r>
    </w:p>
    <w:p>
      <w:r>
        <w:t>- 22 - alléguées ne constituaient pas une entrave pour occuper ces deux derniers postes. Les éléments de santé qui existaient avant l’arrêt CACI – qui impliqueraient la nécessité d’éviter des efforts physiques – ne sont pas propres, même s’ils subsistent, à justifier la prise en compte d’un revenu inférieur : ils ne l’étaient pas avant. Ils ne le sont pas plus maintenant. En effet, les certificats médicaux produits par l’intimé démontrent qu’il a eu des problèmes de santé notamment au pancréas et qu’il a été déclaré incapable de travailler à plein temps pendant quatre mois (d’août à novembre) en 2020 et pendant huit jours (du 14 au 15 puis du 18 au 24) en octobre 2021. Ils ne rendent en revanche aucunement vraisemblable qu’il ne pourrait exercer un métier lui permettant de réaliser le revenu hypothétique qui avait été retenu en 2019, le seul écoulement du temps ne permettant pas de le retenir désormais et aucune pièce n’en attestant, alors que la production d’éléments sur ce point aurait pu être faite sans autre, par l’intimée assisté, en première comme en seconde instance. L’intimé fait toute une présentation pour dire que son poste actuel est similaire à un poste de chef de projet, compte tenu de son cahier des charges. Cela n’est pas déterminant. En effet, l’intimé doit plutôt démontrer qu’il a fait tout ce qui est en son pouvoir pour gagner le même revenu que celui fixé par l’ordonnance de 2019. En tenant compte des offres d’emploi qu’il a produites, elles semblent en petit nombre depuis l’arrêt CACI du 4 septembre 2019 d’une part (cf. en particulier les offres faites en décembre 2019, janvier, mai, août et septembre 2020 dont le nombre d’offres par mois est inférieur à sept), non accompagnées des offres et des réponses, d’autre part, de sorte qu’on doit ici également retenir que l’intimé n’a pas produit les éléments suffisants, bien qu’assisté d’un conseil, permettant de rendre vraisemblable qu’il aurait fait tous les efforts que l’on pouvait attendre de lui pour retrouver un emploi exigible de lui et rémunéré comme précédemment. L’intimé revient également sur le fait qu’il n’a pas de brevet ni de formation d’ingénieur. Ce point a également été examiné par la CACI dans la précédente procédure et il n’y a pas de raison d’y revenir. Elle a considéré qu’il bénéficiait d’une formation solide qui lui avait permis d’occuper des postes de cadres dans le domaine de la construction et du bâtiment. Le fait qu’il n’ait pas de</w:t>
      </w:r>
    </w:p>
    <w:p>
      <w:r>
        <w:t>- 23 - formation d’ingénieur ou de brevet fédéral n’avait ainsi pas été un obstacle à l’exercice de telles fonctions. Il découle de ce qui précède que l’intimé n’a à aucun moment rendu vraisemblable qu’il ne pourrait exercer son précédent emploi, de sorte qu’un autre salaire, moins important, puisse lui être imputé. Il n’a pas non plus rendu vraisemblable avoir fait des recherches d’emploi suffisantes pour considérer qu’il n’arriverait pas à trouver un emploi comme celui qu’il exerçait jusqu’alors. Comme précédemment relevé, le seul passage du temps ne saurait permettre à l’intimé, qui n’avait pas rendu en 2019 vraisemblable qu’il ne pouvait plus exercer son précédent emploi, qu’on considère aujourd’hui qu’il ne le pourrait plus. Dans ces conditions, la continuation de la prise en compte du salaire hypothétique retenu en 2019, par 7'340 fr., ne prête pas flanc à la critique et doit être ici confirmée. La variation du revenu effectif de l’intimé ne justifiait par conséquent pas qu’on entre en matière sur sa requête en modification, ce qui a manifestement échappé à l’autorité de première instance. III. Du revenu de l’appelante</w:t>
      </w:r>
    </w:p>
    <w:p>
      <w:r>
        <w:rPr>
          <w:b/>
        </w:rPr>
        <w:t>E. 5.1</w:t>
      </w:r>
    </w:p>
    <w:p>
      <w:r>
        <w:t>Au moment de la reddition de l’arrêt CACI du 4 septembre 2019, l’appelante travaillait à 80 % et réalisait en moyenne un salaire mensuel net de 4'590 francs. Lors du dépôt de sa requête en modification de contribution d’entretien du 1er février 2021, elle était sans emploi depuis le 31 août 2020 et bénéficiait des indemnités de chômage depuis le mois de novembre 2020, soit un revenu moyen de 3'688 francs. Compte tenu de cette période de perte d’emploi suivie d’une période de chômage de plus de trois mois – étant en outre relevé que l’appelante n’était pas en mesure de retrouver un emploi avant le 1er mai 2022 (cf. consid. 5.2.2 infra) –, impliquant une baisse de revenu d’environ 20%, la situation financière de l’appelante s’est durablement et</w:t>
      </w:r>
    </w:p>
    <w:p>
      <w:r>
        <w:t>- 24 - notablement modifiée depuis l’arrêt CACI du 4 septembre 2019. Dès lors, il se justifiait d’entrer en matière sur la requête en modification de l’appelante et de fixer à nouveau sa contribution d’entretien, après avoir actualisé tous les éléments pris en compte pour le calcul dans le jugement précédent et litigieux devant le premier juge, à l’exception du revenu de l’intimé qui devait rester à 7'340 fr. (cf. consid. 4.2.2 supra).</w:t>
      </w:r>
    </w:p>
    <w:p>
      <w:r>
        <w:rPr>
          <w:b/>
        </w:rPr>
        <w:t>E. 5.2.1</w:t>
      </w:r>
    </w:p>
    <w:p>
      <w:r>
        <w:t>L’intimé requiert qu’on prenne en compte un revenu hypothétique pour l’appelante dès le 1er janvier 2021. Il déduit de la convention de sortie conclue entre l’appelante et son ancien employeur qu’elle aurait renoncé à un emploi de son plein gré.</w:t>
      </w:r>
    </w:p>
    <w:p>
      <w:r>
        <w:rPr>
          <w:b/>
        </w:rPr>
        <w:t>E. 5.2.2</w:t>
      </w:r>
    </w:p>
    <w:p>
      <w:r>
        <w:t>Cette affirmation n’est pas rendue vraisemblable et démentie par les pièces au dossier, notamment la pièce 116, dont il ressort que c’était à la suite des problèmes de santé que l’appelante et son employeur ont décidé de mettre fin aux rapports de travail. Cela dit, l’attestation auprès du chômage (pièce 116), remplie par un médecin et produite par l’appelante elle-même, indique que celle-ci est apte à effectuer toute activité professionnelle en lien avec ses compétences à l’exception d’un poste auprès de G.________, son ancien employeur. Il s’agit de la seule attestation médicale produite après la fin des rapports avec son ancien employeur. Aucun document n’atteste d’une continuation des troubles après le départ de chez ce dernier, selon une convention partiellement produite par l’appelante dont on ne peut que retenir la date du 15 juillet 2020 (allégué ad 55 de son procédé). L’appelante a produit de nombreuses offres d’emploi pour le travail de l’intimé. Elle n’a rien produit, bien que déclarée pleinement apte au travail pour peu que cela ne soit pas auprès de son ancien employeur, la concernant et bien qu’au chômage depuis novembre 2020 au moins, soit depuis plus d’une année. Dans ces conditions, on ne saurait retenir, à l’instar de l’intimé, que l’appelante aurait effectué les efforts que l’on pouvait attendre d’elle</w:t>
      </w:r>
    </w:p>
    <w:p>
      <w:r>
        <w:t>- 25 - pour retrouver un emploi, qu’elle peut, selon les pièces produites par elle, exercer. Cela s’impose d’autant plus que la question du revenu hypothétique s’est posée en première instance, notamment concernant l’intimé par les soins de l’appelante et que celle-ci n’a produit aucune pièce la concernant. Elle n’en a pas non plus produit à réception de la réponse de l’intimé, alors même que ces pièces auraient été recevables en appel. Il convenait donc, en première instance, de lui imputer un revenu hypothétique. Vu ses problèmes de santé qui l’ont nécessairement fragilisée, sans qu’on sache toutefois s’ils perdurent, ce que l’appelante ne rend pas vraisemblable, et vu la situation professionnelle difficile dans le domaine d’activité de l’appelante notamment du fait du télétravail imposé jusqu’à mi février 2022, il se justifiait toutefois de lui impartir un délai de six mois, échéant donc fin avril 2022 pour retrouver un emploi – l’imputation vu ses problèmes de santé avérés passés ne pouvant en première instance être immédiate, encore moins rétroactive – et de lui imputer à l’issue de ce délai un revenu à 100 %, correspondant à son dernier salaire adapté à un taux de 100 %, soit à 5'737 fr. (4'590 fr. x100/80). On notera à cet égard que l’appelante ne saurait invoquer la présente procédure d’appel pour obtenir un nouveau délai pour retrouver un emploi dès lors qu’elle ne peut ignorer, notamment par son avocate, qu’elle doit pourvoir à l’entretien de sa fille par un travail à 100 % et ne saurait prétendre de bonne foi qu’elle était en droit d’attendre qu’un délai lui soit imparti par l’autorité de céans pour se mettre à rechercher, sérieusement, un nouvel emploi. III. Des charges de l’intimé</w:t>
      </w:r>
    </w:p>
    <w:p>
      <w:r>
        <w:rPr>
          <w:b/>
        </w:rPr>
        <w:t>E. 6.1</w:t>
      </w:r>
    </w:p>
    <w:p>
      <w:r>
        <w:t>L’appelante reproche au président d’avoir considéré que les frais médicaux de l’intimé s’élèvent à 116 fr. 35 par mois en se basant sur la pièce 5. Cette pièce (cf. let. C/ch. 3.1.2 supra) se rapporterait à un traitement unique et ne rendrait pas vraisemblable ni que l’intimé aurait des traitements récurrents ni le coût de ces traitements.</w:t>
      </w:r>
    </w:p>
    <w:p>
      <w:r>
        <w:t>- 26 -</w:t>
      </w:r>
    </w:p>
    <w:p>
      <w:r>
        <w:rPr>
          <w:b/>
        </w:rPr>
        <w:t>E. 6.2</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 montant de la franchise et la part des frais médicaux qui demeurent à la charge de l'assuré peuvent être inclus dans le minimum vital après avoir été mensualisés, lorsqu'il est certain que l'intéressé devra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TF 5A_991/2014 du 27 mai 2015 consid. 2.1; TF 5A_914/2010 du 10 mars 2011 consid. 5.2; TF 5A_664/2007 du 23 avril 2008 consid. 2.2.1).</w:t>
      </w:r>
    </w:p>
    <w:p>
      <w:r>
        <w:rPr>
          <w:b/>
        </w:rPr>
        <w:t>E. 6.3</w:t>
      </w:r>
    </w:p>
    <w:p>
      <w:r>
        <w:t>Il est vrai qu’un montant mensuel de 116 fr. 35 ne ressort pas tel quel ni de la pièce 4 ni de la pièce 5. Il n’en demeure pas moins qu’il est rendu vraisemblable que l’intimé souffre d’une maladie chronique touchant le pancréas, en raison de laquelle il a déjà été hospitalisé à plusieurs reprises et pour laquelle il est suivi au CHUV. Il est notoire qu’une telle maladie engendre des coûts de santé élevés, dont une partie reste à la charge de l’assuré (à titre de quote-part sur les coûts d’hospitalisation ou à titre de frais inférieur au montant de la franchise). En l’occurrence, au vu de la franchise de 2'000 fr. par an de l’intimé et des traitements qu’il doit suivre, le montant de 116 fr. 35 – même s’il résulte d’une facture unique – apparaît correspondre aux coûts médicaux mensuels prévisibles. Au stade de la vraisemblance, ce montant ne prête pas le flanc à la critique et doit ici être confirmé.</w:t>
      </w:r>
    </w:p>
    <w:p>
      <w:r>
        <w:t>- 27 -</w:t>
      </w:r>
    </w:p>
    <w:p>
      <w:r>
        <w:rPr>
          <w:b/>
        </w:rPr>
        <w:t>E. 7.1</w:t>
      </w:r>
    </w:p>
    <w:p>
      <w:r>
        <w:t>L’appelante estime par ailleurs que la charge fiscale retenue par le président à hauteur de 928 fr. 50 dépasse celle qui peut être obtenue à l’aide du calculateur de l’Administration fédérale des contributions ou celle alléguée en première instance par l’intimé. Selon le simulateur fiscal de l’administration fédérale des contributions, en tenant compte d'un revenu mensuel net de 7'340 fr., d’un statut de contribuable seul, habitant à Morges, sans enfant à charge, ainsi que des contributions d'entretien mensuelles versées à un enfant mineur à hauteur de 1’400 fr., ainsi que d’une pension pour épouse de 1'260 fr. par mois, la charge fiscale s’élèverait à 734 fr. 25 (8'811 fr. par année), montant arrondi à 730 fr. pour un revenu annuel net de 56'160 francs ({7'340 fr. – [1'400 fr. + 1'260 fr.]} x 12). En tenant compte du même montant s’agissant du revenu et de la contribution d’entretien pour enfant mais d’une contribution d’entretien pour épouse fixée à 920 fr., le revenu annuel s’élèverait à 60'240 fr. ({7'340 fr. – [1'400 fr. + 920 fr.]} x 12) et l’impôt annuel à 10'282 fr., soit à 850 fr. par mois (montant arrondi). On retiendra un montant maximal de 730 fr. au lieu de 928 fr. 50, étant rappelé que lors de l’audience du 8 février 2021, l’intimé avait allégué un montant de 500 fr. d’impôt.</w:t>
      </w:r>
    </w:p>
    <w:p>
      <w:r>
        <w:t>- 28 - IV. De la charge fiscale de l’appelante et de L.________.</w:t>
      </w:r>
    </w:p>
    <w:p>
      <w:r>
        <w:rPr>
          <w:b/>
        </w:rPr>
        <w:t>E. 7.2</w:t>
      </w:r>
    </w:p>
    <w:p>
      <w:r>
        <w:t>Le grief est fondé. Pour les frais de repas on doit compter 11 fr. par jour, conformément au forfait prévu par les Lignes directrices LP, vu l’absence de pièce permettant de retenir le montant allégué. Cela donne 238 fr. 70 (11 fr. x 21,7 jours de travail), arrondi à 239 francs.</w:t>
      </w:r>
    </w:p>
    <w:p>
      <w:r>
        <w:rPr>
          <w:b/>
        </w:rPr>
        <w:t>E. 8.1</w:t>
      </w:r>
    </w:p>
    <w:p>
      <w:r>
        <w:t>Eu égard à la maxime d’office applicable et au fait que la situation financière de l’intimé le permet, il y a lieu de déterminer le montant de la charge fiscale. A cet égard, la jurisprudence récente exige que la part des impôts du parent gardien qui est destinée à couvrir le coût des enfants figure dans les charges de ceux-ci et suggère une répartition proportionnelle des impôts entre appelante et son enfant mineure (TF 5A_816/2019 du 25 juin 2021 destiné à la publication).</w:t>
      </w:r>
    </w:p>
    <w:p>
      <w:r>
        <w:rPr>
          <w:b/>
        </w:rPr>
        <w:t>E. 8.2</w:t>
      </w:r>
    </w:p>
    <w:p>
      <w:r>
        <w:t>En l’occurrence, pour la période du 1er janvier 2021 jusqu’au 30 avril 2022, les revenus de la mère, cumulés avec les revenus de l’enfant, avant la répartition de l’excédent et sans la charge fiscale, s’élèvent à 5’443 francs (3'688 fr. [de revenu de l’appelante] + 465 fr. [pension à titre de couverture du manco, cf. infra consid. 9.2.1] + 930 fr. [coûts directs de l’enfant] + 360 fr. [allocations familiales]). Les revenus de L.________, à eux seuls, représentent environ 24 % des revenus totaux. Dans la mesure où le montant des impôts de la mère, qui n’est pas critiqué en appel, s’élève à 278 fr. 30, une part de ce montant à hauteur de 66 fr. 79 (278 fr. 30 x 24 %), arrondie à 67 fr., doit être incluse dans les coûts directs de l’enfant. En réalité, ces coûts s’élèvent à 996 fr. 85 (1'356 fr. 85 – 360 fr. d’allocations familiales, cf. let. C/ch. 3.3 supra), arrondi à 997 francs. La charge fiscale de l’appelante s’élève finalement à 211 fr. 30 (278 fr. 30 – 67 fr.) pour la période allant du 1er janvier 2021 au 30 avril 2022 (pour la période postérieure, cf. infra consid. 9.2.2). V. De la répartition de l’excédent</w:t>
      </w:r>
    </w:p>
    <w:p>
      <w:r>
        <w:rPr>
          <w:b/>
        </w:rPr>
        <w:t>E. 9.1</w:t>
      </w:r>
    </w:p>
    <w:p>
      <w:r>
        <w:t>Le président, après être entré en matière sur les demandes en modification des parties et avoir actualisé tous les postes pertinents, a établi les minima vitaux du droit de la famille de tous les intéressés. Il a</w:t>
      </w:r>
    </w:p>
    <w:p>
      <w:r>
        <w:t>- 29 - ensuite procédé à la répartition de l’excédent, après avoir couvert le minimum vital du droit de la famille de l’intimé et celui de l’enfant. L’appelante lui reproche de ne pas avoir couvert son manco avant la répartition de l’excédent.</w:t>
      </w:r>
    </w:p>
    <w:p>
      <w:r>
        <w:rPr>
          <w:b/>
        </w:rPr>
        <w:t>E. 9.2</w:t>
      </w:r>
    </w:p>
    <w:p>
      <w:r>
        <w:t>Ce moyen est fondé. En effet, comme le soutient l’appelante, avant de répartir l’excédent, il fallait couvrir le minimum vital de tous les intéressés conformément à la dernière jurisprudence du Tribunal fédéral (cf. consid. 3.3.5 supra). Cela impliquait de déduire du solde du débirentier non seulement les coûts de l’enfant mineure (première étape), mais aussi le manco du conjoint (deuxième étape), lorsque celui-ci n’est pas intégré aux coûts (indirects) de l’enfant à titre de contribution de prise en charge, et de répartir enfin l’excédent entre les ayants-droit (troisième étape).</w:t>
      </w:r>
    </w:p>
    <w:p>
      <w:r>
        <w:rPr>
          <w:b/>
        </w:rPr>
        <w:t>E. 9.2.1</w:t>
      </w:r>
    </w:p>
    <w:p>
      <w:r>
        <w:t>En l’espèce, s’agissant de la période allant jusqu’au 30 avril 2022, l’intimé dispose de 3'454 fr. 80 par mois après la couverture de son minimum vital élargi à hauteur de 3'885 fr. 19. Ce montant de 3'454 fr. 80 doit ensuite être utilisé à couvrir les coûts directs de l’enfant à hauteur de 997 fr., puis le manco de l’appelante à hauteur de 465 fr. (4'153 fr. – 3'688 fr.), ce qui laisse un disponible de 1'992 fr. 81 (3'454 fr. 80 – [997 fr. + 465 fr.]) à la famille. En répartissant cet excédent en équité par « grandes et petites têtes », à savoir en l’espèce 1/5 pour l’enfant et 2/5 par parent, L.________ aura 398 fr. 56, arrondi à 400 fr., et chacun de ses parents 797 fr. 12. La contribution d’entretien pour L.________ restera ainsi fixée à 1'397 fr. (997 fr. + 400 fr.), soit 1'400 fr. (en chiffres ronds), et celle de l’appelante à 1'262 fr. 12 (465 fr. + 797 fr. 12), soit 1'260 fr. (en chiffres arronds) jusqu’au 30 avril 2022.</w:t>
      </w:r>
    </w:p>
    <w:p>
      <w:r>
        <w:rPr>
          <w:b/>
        </w:rPr>
        <w:t>E. 9.2.2</w:t>
      </w:r>
    </w:p>
    <w:p>
      <w:r>
        <w:t>Dès le 1er mai 2022, l’appelante se verra imputer un revenu mensuel hypothétique net à hauteur de 5'737 fr. (cf. consid. 5.2.2 supra), correspondant au revenu qu’elle réalisait précédemment de 4'590 fr. augmenté à un taux d’activité de 100 %. Le poste relatif aux frais de recherche d’emploi (retenu par le président à hauteur de 200 fr.) doit en conséquence être retranché de son</w:t>
      </w:r>
    </w:p>
    <w:p>
      <w:r>
        <w:t>- 30 - budget. D’autre part, le revenu de 5'737 fr. impliquera forcément une charge fiscale, actuellement hypothétique, plus importante. Selon la jurisprudence, lorsqu'un revenu hypothétique est retenu, il est en effet arbitraire de s'en tenir à la charge fiscale de l'intéressé calculée en fonction du revenu effectif. Elle doit être estimée sur la base du revenu hypothétique retenu (TF 5A_679/2011 du 10 avril 2012 consid. 10.2, rés. in RMA 2012 p. 301; TF 5A_958/2014 du 12 mai 2015 consid. 5.1.3 ; TF 5A_782/2016 du 31 mai 2017 consid. 6 ; TF 5A_461/2019 du 6 mars 2020 consid. 5.2, FamPra.ch 2020 p. 488). Il conviendra également de tenir compte des frais de repas à l’extérieur – à l’instar de ceux retenus pour l’intimé – à hauteur de 239 fr. (cf. consid. 7.2 supra). Selon le simulateur fiscal de l’Administration fédérale des contributions, en tenant compte d'un revenu mensuel net de 5'737 fr., des allocations familiales de 360 fr., ainsi que des contributions d'entretien mensuelles prévisibles à hauteur de 1’400 fr. pour l’enfant mineure et 920 fr. pour l’épouse, la charge fiscale de l’appelante peut être estimée à ce stade à 1’306 fr. 50 (soit 15’678 fr. par année), soit à 1’300 fr. en chiffres ronds, pour un revenu annuel net de 101’004 fr. ([5'737 fr. + 360 fr. + 1'400 fr. + 920 fr.] x 12). Dès lors que la charge d’impôt de l’appelante est hypothétique, on ne saurait imputer une part de celle-ci, supérieure à sa charge effective de 278 fr. 30, dans les coûts directs de l’enfant. Dans le cas contraire, le fait d’imputer à la mère, qui a la garde de l’enfant, un revenu hypothétique, reviendrait à mettre à la charge du père des coûts directs plus importants car tenant compte d’une part de charges d’impôt hypothétiques de la mère. Ainsi alors que la mère gagnerait hypothétiquement plus, le père assumerait des coûts directs plus importants mais hypothétiques pour son enfant et donc une pension plus élevée. Ce n’est ni juste ni le sens de la jurisprudence précitée aux considérants 3.3.4 et 8.1 ci-dessus. Dans ces conditions, seule sera pris en compte dans les coûts directs de l’enfant une part de l’impôt effectivement due par la mère, soit 67 fr. (cf. consid. 8.2 supra), la charge fiscale de la mère étant dès lors de 1'233 fr. (1'300 fr. – 67 fr.).</w:t>
      </w:r>
    </w:p>
    <w:p>
      <w:r>
        <w:t>- 31 - Dès le 1er mai 2022, les charges essentielles de l’appelante seront les suivantes : montant de base d'entretien Fr. 1'350.00 loyer Fr. 1'487.50 assurance-maladie LAMal Fr. 387.45 frais médicaux non remboursés Fr. 103.55 frais de repas à l'extérieur Fr. 239.00 leasing Fr. 343.15 frais de recherches d'emploi Fr. 0.00 MV LP Fr. 3'910.65 impôt hypothétique Fr. 1233.00 assurance LCA Fr. 60.05 smartcaution Fr. 10.00 MV Famille Fr. 5'213.70 Les coûts directs de L.________, établis à hauteur de 997 fr., resteront inchangés après le 30 avril 2022. De même, la situation financière de l’intimé ne sera pas modifiée, de sorte qu’après couverture de son minimum vital élargi, il disposera toujours de 3'454 fr. 80 par mois. Le disponible de l’appelante sera inférieur à ce montant, puisqu’il s’élèvera à 523 fr. 30 (5'737 fr. – 5'213 fr. 70). En outre, l’appelante exerce la garde de fait de L.________ et assume par conséquent son entretien en nature (en lui fournissant les soins et éducation au quotidien). Pour ces motifs, il appartiendra à l’intimé de contribuer financièrement à l’entretien convenable de L.________ – couvrant les coûts directs, ainsi qu’une part de l’excédent – même lorsque le revenu de l’appelante sera de 5'737 francs. Il n’y a en revanche pas lieu de déduire sur le revenu de l’intimé un montant à titre de contribution de prise en charge ou de couverture de manco de l’appelante, L.________ étant âgée de plus de seize ans et la situation financière de l’appelante n’étant pas déficitaire. Après la couverture des coûts directs (997 fr.), l’intimé aura un excédent de 2’457 fr. 80 (3'454 fr. 80 – 997 fr.). L’excédent de la famille, après couverture des minima vitaux de tous les intéressés, s’élève à 2'981 fr. 10 (2'457 fr. 80 + 523 fr. 30).</w:t>
      </w:r>
    </w:p>
    <w:p>
      <w:r>
        <w:t>- 32 - La clé de répartition usuelle aboutirait à une participation à l’excédent de 596 fr. 22, soit 596 fr. 25 pour l’enfant (1/5 de 2'981 fr. 10) et de 1'192 fr. 44, soit 1'192 fr. 50 (2/5 de 2'981 fr. 10) pour chacun des parents. Dans la mesure où les coûts directs de l’enfant ont été pris en compte de manière étendue, un montant de 596 fr. 25 censés couvrir les loisirs et les vacances ne se justifient pas. Cela d’autant moins que la situation financière des parents n’est pas très confortable. Un montant de 400 fr. apparaît suffisant. Au vu de ce qui précède, l’intimé continuera à contribuer à l’entretien de sa fille L.________ par le versement d’une pension de 1'400 fr. (montant arrondi), avant comme après le 30 avril 2022, composé de la couverture des coûts directs à hauteur de 997 francs et d’une participation à l’excédent à hauteur de 400 francs. Il devrait en outre verser à son épouse une pension de 865 fr. 30 ({2'457 fr. 80 [disponible de l’intimé après couverture des coûts directs] – 400 fr. [participation de l’excédent pour l’enfant] – 1'192 fr. 50 fr. [participation de l’excédent pour l’intimé]). Toutefois, compte tenu de l’interdiction de la reformatio in pejus, la pension fixée à 920 fr. en première instance doit être confirmée.</w:t>
      </w:r>
    </w:p>
    <w:p>
      <w:r>
        <w:rPr>
          <w:b/>
        </w:rPr>
        <w:t>E. 10</w:t>
      </w:r>
    </w:p>
    <w:p>
      <w:r>
        <w:t>L’appel tendait à une augmentation de conclusions à hauteur de 540 fr. (1'460 fr. – 920 fr.) dès le 1er janvier 2021. En interjetant appel, l’appelante obtient que sa pension soit augmentée de 340 fr. (1’260 fr. – 920 fr.) pour la période du 1er janvier 2021 au 30 avril 2022 seulement. On peut ainsi considérer que globalement – la succombance étant déterminée par le résultat global du procès (cf. TF 4A_442/2021 du 8 février 2022 consid 3.2) – l’appelante succombe sur deux tiers de ses conclusions.</w:t>
      </w:r>
    </w:p>
    <w:p>
      <w:r>
        <w:t>- 33 - Faute d’autres griefs, l’appel doit être partiellement admis et l’ordonnance entreprise réformée dans le sens des considérants qui précèdent. La décision sur frais de première instance à intervenir (cf. chiffre V de l’ordonnance entreprise) devra être fixée en tenant compte du sort donné à la décision attaquée. Vu la mesure dans laquelle l’appel est admis, les frais judiciaires de deuxième instance, arrêtés à 600 fr. (art. 63 al. 1 TFJC [tarif des frais judiciaires civils du 28 septembre 2010 ; BLV 270.11.5]), doivent être mis pour deux tiers à la charge de l’appelante (art. 106 al. 2 CPC), soit à 400 fr., et pour un tiers, soit 200 fr., à la charge de l’intimé. Les frais à la charge de l’appelante seront provisoirement laissés à la charge de l’Etat, compte tenu de l’assistance judiciaire (cf. consid. 11 infra). La charge des dépens est évaluée à 2'500 fr. pour chaque partie, de sorte que, compte tenu de ce que les frais – comprenant les frais judiciaires et dépens (art. 95 al. 1 CPC) – doivent être mis à la charge de l’appelante à raison de deux tiers et de l’intimé à raison d’un tiers, l’appelante versera en définitive à l’intimé un tiers des dépens (2'500 fr. x [2/3 – 1/3]), soit 830 fr. (montant arrondi) pour toutes choses (art. 3 al. 2, 7 et 19 al. 2 TDC [tarif des dépens en matière civile du 23 novembre 2010 ; BLV 270.11.6]).</w:t>
      </w:r>
    </w:p>
    <w:p>
      <w:r>
        <w:rPr>
          <w:b/>
        </w:rPr>
        <w:t>E. 11.1</w:t>
      </w:r>
    </w:p>
    <w:p>
      <w:r>
        <w:t>Dès lors que l’appelante remplit les conditions posées par l’art. 117 CPC, l’assistance judiciaire lui sera accordée avec effet au 13 octobre 2021 et Me Dominique-Anne Kirchhofer désignée en qualité de conseil d'office.</w:t>
      </w:r>
    </w:p>
    <w:p>
      <w:r>
        <w:rPr>
          <w:b/>
        </w:rPr>
        <w:t>E. 11.2</w:t>
      </w:r>
    </w:p>
    <w:p>
      <w:r>
        <w:t>Me Dominique-Anne Kirchhofer, conseil de l’appelante, a indiqué avoir consacré 10 heures et 36 minutes pour la période du 13 octobre 2021 au 18 janvier 2022. Cette durée n’est pas excessive et peut</w:t>
      </w:r>
    </w:p>
    <w:p>
      <w:r>
        <w:t>- 34 - être admise. Au tarif horaire de 180 fr., ses honoraires s’élèvent à 1'908 fr. (180 fr. x 10h36), montant auquel s’ajoutent des débours forfaitaires de 2 %, par 38 fr. 16 (art. 2bis RAJ), la TVA sur le tout par 149 fr. 85, ce qui donne un total de 2'096 fr. 01, arrondi à 2’096 fr.</w:t>
      </w:r>
    </w:p>
    <w:p>
      <w:r>
        <w:rPr>
          <w:b/>
        </w:rPr>
        <w:t>E. 12</w:t>
      </w:r>
    </w:p>
    <w:p>
      <w:r>
        <w:t>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déléguée de la Cour d’appel civile prononce : I. L’appel est partiellement admis. II. L’ordonnance est réformée au chiffre II de son dispositif comme il suit : II. DIT que B.W.________ contribuera à l’entretien de son épouse A.W.________, née [...], née le 25 septembre 1972, par le régulier versement d’une pension de 1’260 fr. (mille deux cent soixante francs), payable d’avance le premier de chaque mois en mains de cette dernière, du 1er janvier 2021 au 30 avril 2022, et de 920 fr. (neuf cent vingt francs), dès et y compris le 1er mai 2022. L’ordonnance est maintenue pour le surplus.</w:t>
      </w:r>
    </w:p>
    <w:p>
      <w:r>
        <w:t>- 35 - III. La requête d’assistance judiciaire de l’appelante A.W.________ est admise avec effet au 13 octobre 2021, Me Dominique-Anne Kirchhofer étant désignée en qualité de conseil d’office. IV. Les frais judiciaires de deuxième instance, arrêtés à 600 fr. (six cent francs), sont mis à la charge de l’appelante A.W.________ par 400 fr. (quatre cents francs), mais provisoirement laissés à la charge de l’Etat, et de l’intimé B.W.________ par 200 fr. (deux cents francs). V. L’indemnité de Me Dominique-Anne Kirchhofer, conseil d’office de l’appelante A.W.________, est arrêtée à 2’096 fr. (deux mille nonante-six francs), débours et TVA compris. VI. La bénéficiaire de l’assistance judiciaire est tenue au remboursement des frais judiciaires et des indemnités versées à son conseils d’office, laissés provisoirement à la charge de l’Etat, dès qu’elle sera en mesure de le faire. VII. L’appelante A.W.________ versera à l’intimé B.W.________ la somme de 830 fr. (huit cent trente francs) à titre de dépens réduits de deuxième instance. VIII. L’arrêt est exécutoire. La juge déléguée : La greffière :</w:t>
      </w:r>
    </w:p>
    <w:p>
      <w:r>
        <w:t>- 36 - Du Le présent arrêt, dont la rédaction a été approuvée à huis clos, est notifié en expédition complète à : - Me Dominique-Anne Kirchhofer, avocate (pour A.W.________), - Me Véronique Fontana, avocate (pour B.W.________). et communiqué, par l'envoi de photocopies, à : - M. le Président du Tribunal civil de l’arrondissement de La Côte.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