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TD18.053961 vom 24. Januar 2022</w:t>
      </w:r>
    </w:p>
    <w:p>
      <w:r>
        <w:t>VD Tribunal cantonal, 2022-01-24, FR</w:t>
      </w:r>
    </w:p>
    <w:p>
      <w:r>
        <w:rPr>
          <w:b/>
        </w:rPr>
        <w:t xml:space="preserve">Quelle: </w:t>
      </w:r>
      <w:r>
        <w:t>https://mcp.opencaselaw.ch/entscheid/vd_gerichte_TD18.053961</w:t>
      </w:r>
    </w:p>
    <w:p>
      <w:r>
        <w:t>FR: VD_GERICHTE TD18.053961 du 24 janvier 2022</w:t>
      </w:r>
    </w:p>
    <w:p>
      <w:r>
        <w:t>IT: VD_GERICHTE TD18.053961 del 24 gennaio 2022</w:t>
      </w:r>
    </w:p>
    <w:p>
      <w:pPr>
        <w:pStyle w:val="Heading2"/>
      </w:pPr>
      <w:r>
        <w:t>Erwägungen</w:t>
      </w:r>
    </w:p>
    <w:p>
      <w:r>
        <w:rPr>
          <w:b/>
        </w:rPr>
        <w:t>E. 4.1</w:t>
      </w:r>
    </w:p>
    <w:p>
      <w:r>
        <w:t>L’appelante reproche tout d’abord au tribunal une violation de l'art. 285 CC (Code civil suisse du 10 décembre 1907 ; RS 210) pour n'avoir pas imputé un revenu hypothétique à l'intimé, relevant que les exigences quant à l'épuisement de la capacité de travail du débiteur d'aliments seraient particulièrement élevées en présence d'enfants mineurs. En se fondant sur le calculateur « Salarium », il y aurait lieu, selon elle, d’imputer à l’intéressé un revenu hypothétique de 5'886 fr.,</w:t>
      </w:r>
    </w:p>
    <w:p>
      <w:r>
        <w:t>- 13 - part au treizième salaire comprise, pour un emploi avec CFC de peintre en bâtiment. Pour sa part, l'intimé confirme que sa demande de prestations AI serait toujours à l'examen et soutient que ce serait donc à juste titre que la décision querellée constate qu'il n'est pas en mesure de travailler ni de payer une contribution d'entretien pour ses enfants. A titre subsidiaire, il fait valoir que même si on lui reconnaissait une capacité de travail, il ne pourrait pas réaliser un gain de 5'886 fr. par mois comme le soutient l'appelante, parce qu'il n'a exercé l'activité de peintre en bâtiment que pendant deux ans seulement et cela il y a 20 ans. De plus, ayant été incarcéré et éloigné du monde professionnel, il relève qu’il faudrait de toute manière lui impartir un délai d'adaptation.</w:t>
      </w:r>
    </w:p>
    <w:p>
      <w:r>
        <w:rPr>
          <w:b/>
        </w:rPr>
        <w:t>E. 4.2.1</w:t>
      </w:r>
    </w:p>
    <w:p>
      <w:r>
        <w:t>; TF 5A 208/2020 du 26 août 2020 consid. 2.1).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consid. 4.7.6 à 4.7.9, JdT 2019 II 179 ; TF 5A_931/2017 du 1er novembre 2018 consid. 3.1.2, publié in SJ 2019 I 223).</w:t>
      </w:r>
    </w:p>
    <w:p>
      <w:r>
        <w:t>- 29 - 6.3 En l'espèce, à l'instar de l'intimé, l'appelante, âgée de 37 ans, n'a pas démontré son incapacité de gain par des pièces probantes. Elle n'a donc pas établi qu'elle n'est pas en mesure de subvenir elle-même à son propre entretien convenable, alors qu’elle pourrait à tout le moins travailler à un taux de 80% au vu de l’âge de ses enfants, soit 16 et 15 ans. Aucune contribution d'entretien après divorce ne peut donc lui être allouée. A cela s’ajoute qu’après paiement des contributions d’entretien en faveur de ses enfants, l’intimé ne dispose de toute manière que d’un solde de l’ordre de 350 fr., qui ne lui permettrait de contribuer à l’entretien de l’appelante que dans une très modeste mesure. 7. Les montants des contributions d’entretien étant arrêtés, on peut confirmer le montant retenu à titre d’impôts dans les charges de l’intimé. En effet, en prenant en compte un revenu net annuel de 33'408 fr. (4'604 fr. de revenu mensuel, dont à déduire 250 fr. de frais professionnels et 1'570 fr. de pensions, multipliés par 12), on obtient par une simulation d’impôts disponible sur le site de l’Etat de Vaud un montant annuel d’impôts de 4'680 fr. 15, soit environ 390 fr. par mois, comme retenu, étant tout de même précisé que ce montant est une estimation dès lors qu’il ne tient pas compte d’autres sources de revenus ou d’autres déductions fiscales impossibles ici à établir.</w:t>
      </w:r>
    </w:p>
    <w:p>
      <w:r>
        <w:rPr>
          <w:b/>
        </w:rPr>
        <w:t>E. 4.2.2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5A_461/2019 du 6 mars 2020 consid. 3.1, publié in FamPra.ch 2020 p. 488 ; TF 5A_764/2017 du 7 mars 2018 consid. 3.2 ; TF 5A_400/2017 du 11 août 2017 consid. 3.3.1, publié in FamPra.ch 2017 p. 1083). Dans l'examen de l'imputation d'un revenu hypothétique, le caractère inexigible de l'exercice d'une activité lucrative pour des raisons de santé n'est pas subordonné à ce que les conditions d'obtention d'une rente d'invalidité soient remplies (TF 5A_1040/2020 du 8 juin 2021 consid. 3.1 ; TF</w:t>
      </w:r>
    </w:p>
    <w:p>
      <w:r>
        <w:t>- 15 - 5A_726/2011 du 11 janvier 2017 consid. 4.1; TF 5A_360/2016 du 27 octobre 2016 consid. 3.1 in fine). En outre, toute incapacité de travail, même médicalement attestée, ne donne pas encore droit à une rente d'assurance invalidité (TF 5A_1040/2020 du 8 juin 2021 consid. 3.1 ; TF, 5A_455/2019 du 23 juin 2020 consid. 5.4.1). Une incapacité de travail durable, telle qu'attestée par des certificats médicaux, peut, selon les circonstances, suffire à admettre que l'intéressé ne peut pas trouver un emploi, même si l'Office AI a retenu un revenu hypothétique pour refuser une rente. On doit à cet égard considérer l'âge du débirentier et son éventuel éloignement du marché du travail (TF 5A_1040/2020 du 8 juin 2021 consid. 3.1 ;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5A_1040/2020 du 8 juin 2021 consid. 3.1 ; TF 5A_266/2017 du 29 novembre 2017 consid. 6.3; TF 5A 239/2017 du 14 septembre 2017 consid. 2.4, publié in FamPra.ch 2018 p. 212). Une attestation médicale qui relève l'existence d'une incapacité de travail sans autres explications n'a ainsi pas une grande force probante (TF 5A_1040/2020 du 8 juin 2021 consid. 3.1 ; TF 5A_239/2017 précité loc. cit.). Du point de vue procédural, le certificat médical constitue une allégation de partie, à l'instar d'une expertise privée (TF 5A_1040/2020 du</w:t>
      </w:r>
    </w:p>
    <w:p>
      <w:r>
        <w:rPr>
          <w:b/>
        </w:rPr>
        <w:t>E. 4.2.3</w:t>
      </w:r>
    </w:p>
    <w:p>
      <w:r>
        <w:t>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 TF 5A_933/2015 du 23 février 2016 consid. 6.1 ; Mülhauser, Das Lohnbuch 2014, Mindestlöhne sowie orts- und berufsübliche Löhne in der Schweiz, Zurich 2014), pour autant qu'ils soient pertinents par rapport aux circonstances d'espèce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4.2.4</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TF 5A_608/2019 précité consid. 5.1.3 ; 5A_538/2019 du 1er juillet 2020 consid. 3.1; 5A_327/2018 du 17 janvier 2019 consid. 5.2.2; 5A_601/2017 du 17 janvier 2018 consid. 11.3). Il faut notamment examiner si les changements étaient prévisibles pour la partie concernée (TF 5A_224/2016 du 13 juin 2016 consid. 3.3 ; TF 5A_184/2015 du 22 janvier 2016 consid. 3.2).</w:t>
      </w:r>
    </w:p>
    <w:p>
      <w:r>
        <w:rPr>
          <w:b/>
        </w:rPr>
        <w:t>E. 4.3.1</w:t>
      </w:r>
    </w:p>
    <w:p>
      <w:r>
        <w:t>En l'espèce, les certificats médicaux produits par l’intimé ne contiennent aucune description des interférences médicales et les conclusions du médecin ne sont en aucune manière motivées. On ne sait ainsi rien de la pathologie de l'intimé et on ignore en réalité tout des raisons pour lesquelles il ne pourrait exercer aucune activité lucrative. La force probante des documents produits est donc très légère et elle ne suffit pas à démontrer une incapacité de travail. L'intimé n'a donc pas établi son incapacité de travail, ce qu'il lui incombait de faire. De plus, il</w:t>
      </w:r>
    </w:p>
    <w:p>
      <w:r>
        <w:t>- 17 - s'oppose à la mise en oeuvre d'une expertise. Il y a donc lieu de constater que la capacité de travail de l'intimé est intacte et de lui imputer un revenu hypothétique. Il ressort du jugement que l'intimé a travaillé pendant 12 ans, entre 1999 et 2011, comme manutentionnaire, puis opérateur sur machines pour un salaire mensuel net moyen de 4'604 francs. L'intimé dispose donc d'une longue expérience dans ce domaine. S'il est vrai que son expérience de plâtrier-peintre est courte et ancienne, il peut au moins être attendu de lui qu'il retrouve un emploi comme opérateur sur machines, analogue au dernier poste occupé durablement. Son revenu réalisé par le passé peut servir de point de départ, de sorte que l’on retiendra ici un revenu mensuel net de 4'604 francs. Le devoir d'entretien de l'intimé envers les siens lui était connu de longue date et il a eu largement le temps de mettre à profit sa capacité de gain, ce qu'il n'a pas fait, n'ayant justifié d'aucune recherche d'emploi. Dans ces circonstances, il ne se justifie normalement pas de lui accorder un délai d'adaptation (dans ce sens, TF 5A_340/2018 du 16 janvier 2019). Néanmoins, on admettra que l'intimé pouvait se fier à la confiance procurée par le jugement de première instance, de sorte que le revenu hypothétique ne lui sera imputé que dès que le présent arrêt sur appel sera définitif et exécutoire. 5. 5.1 Au vu du revenu hypothétique imputé à l’intimé, l’appelante soutient que celui-ci disposerait des ressources nécessaires pour payer les pensions mensuelles qu'elle réclamait, soit 681 fr. 80 de coûts directs par enfant et 2'000 fr. pour elle-même, tout en indiquant que l’entretien convenable des enfants devait se limiter à leurs coûts directs, renonçant ainsi à l’octroi d’une contribution de prise en charge. Pour sa part, l’intimé soutient que sa fille A.________, âgée de 16 ans, va commencer son apprentissage et gagner 600 fr. par mois, ce dont il faudrait tenir compte dans le calcul du montant nécessaire à son</w:t>
      </w:r>
    </w:p>
    <w:p>
      <w:r>
        <w:t>- 18 - entretien. De plus, aucune contribution de prise en charge ne serait due en faveur de l'appelante, le plus jeune enfant des parties étant âgé de 15 ans et l’appelante pouvant travailler au moins à 80%. Il relève sur ce dernier point que celle-ci n'avait produit aucun rapport médical actuel qui attesterait d’une incapacité de travail. Il ajoute également que la jurisprudence récente du Tribunal fédéral prévoit désormais que les loisirs ne doivent pas être inclus dans les coûts directs des enfants, mais être pris en compte dans la répartition de l’éventuel excédent. 5.2 5.2.1 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 5.2.2 Composent l’entretien convenable de l’enfant les coûts directs générés par celui-ci et les coûts, indirects, liés à sa prise en charge (ATF</w:t>
      </w:r>
    </w:p>
    <w:p>
      <w:r>
        <w:t>- 19 - 144 III 377 consid. 7). Si, en raison de ressources financières insuffisantes, l’ensemble de l’entretien considéré comme convenable de l’enfant ne peut pas être couvert (situation de manco), il faut dorénavant indiquer le montant nécessaire pour assurer l'entretien convenable de chaque enfant (art. 287a let. c CC et 301a let. c CPC ; Message du 29 novembre 2013 concernant la révision du Code civil suisse (Entretien de l'enfant), FF 2014 p. 561). Dans un arrêt récent (ATF 147 III 265), le Tribunal fédéral a considéré que pour arrêter les coûts directs de l’enfant (Barunterhalt), il y a lieu de se fonder, comme pour la contribution de prise en charge, sur la méthode des frais de subsistance (Lebenshaltungskosten) (ATF 147 III 265 précité, consid. 6.1). Cette méthode a vocation à s’appliquer à l’échelle de la Suisse en ce qui concerne l’entretien de l’enfant - sauf le cas de situations très particulières, comme le cas de situations financières très favorables, exigeant que l’entretien de l’enfant trouve ses limites pour des raisons éducatives et pour des raisons liées aux besoins concrets (cf. ATF 147 III 265 précité, consid. 6.6 in fine). 5.2.3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 pour autant que celui-ci ne soit pas disproportionné au regard des besoins et de la situation économique concrète (dans le cas contraire, le loyer doit être ramené à la limite admissible : cf. TF 5A_1029/2015 du 1er juin 2016 consid. 4.3.1 ; 5A_767/2016 du 30 janvier 2017 consid. 3.1.1 ; ATF 129 III 526 consid. 3) et à déduire des coûts de logement du parent gardien (TF 5A_464/2012 du 30 novembre 2012 consid. 4.6.3 ; CACI 29 juin 2017/269 consid. 3.3.3), ainsi que les coûts de garde par des tiers. Ces deux postes, complétés par les suppléments admis par les Lignes</w:t>
      </w:r>
    </w:p>
    <w:p>
      <w:r>
        <w:t>- 20 -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 5.2.4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précité, loc. cit.).</w:t>
      </w:r>
    </w:p>
    <w:p>
      <w:r>
        <w:t>- 21 - 5.2.5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3.2). En revanche, la contribution de prise en charge reste en tous les cas limitée au minimum vital élargi du droit de la famille, même en cas de situation financière supérieure à la moyenne (ATF 147 III 265, précité, loc. cit. ; ATF 144 III 377 consid. 7.1.4). Lorsque les moyens suffisent à financer les minima vitaux du droit de la famille de tous les intéressés, il y a un excédent, qu’il faut attribuer. Si, au contraire, les moyens sont insuffisants, il faut régler les relations entre les différentes catégories d’entretien en jeu. L’ordre de priorité résulte de la loi et de la jurisprudence : il faut couvrir d’abord les coûts directs des enfants mineurs, puis leur contribution de prise en charge (ATF 144 III 481 consid. 4.3), puis un éventuel entretien de l’(ex-) époux (art. 267a al. 1 CC) et finalement l’entretien de l’enfant majeur, le nouvel art. 267a al. 2 CC ne changeant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précité, consid. 7.2 et 7.3). Il faut donc toujours laisser au débiteur d’entretien au moins son minimum vital LP (ATF 140 III 337 consid. 4.3 ; 135 III 66 consid. 2-10). Avec les moyens restants, il faut couvrir, toujours à l’aune du minimum</w:t>
      </w:r>
    </w:p>
    <w:p>
      <w:r>
        <w:t>- 22 - vital LP, les coûts directs des enfants mineurs, puis la contribution de prise en charge, puis l’éventuel entretien de l’(ex-)conjoint. Ce n’est qu’une fois que le minimum vital LP de tous les ayants-droit a été couvert qu’on peut alors envisager d’affecter des ressources restantes à la satisfaction de besoins élargis. A nouveau, il faut alors procéder par étapes, en ce sens qu’on considérera par exemple d’abord les impôts de tous les intéressés, puis qu’on ajoutera chez chacun les forfaits de communication et d’assurance éventuels, etc. Si le minimum vital du droit de la famille est couvert, les parents doivent alors, avec les moyens restants, couvrir l’entretien de l’enfant majeur. S’il reste encore un excédent, celui-ci sera réparti en équité (ermessensweise) entre les ayants-droit.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 5.3 5.3.1 En ce qui concerne les enfants, les premiers juges ont fixé leur contribution d’entretien mensuelle à 681 fr. 80. L’appelante ne conteste pas ces montants. A juste titre, elle observe qu’au vu de l’âge des enfants, leur entretien convenable ne s’étend pas à la contribution de prise en charge. Quant à l’intimé, il doit être suivi en ce sens que le poste « loisirs » retenu par le jugement à hauteur de 50 fr. ne devrait pas être pris en compte dans les coûts directs des enfants (cf. consid. 5.2.5 ci-</w:t>
      </w:r>
    </w:p>
    <w:p>
      <w:r>
        <w:t>- 23 - avant), étant précisé que les coûts directs de l’enfant ont déjà été élargis avec l’assurance-maladie complémentaire et la participation au loyer convenable. En ce qui concerne A.________, il faut encore tenir compte de ses nouveaux frais de déplacement et de repas de midi eu égard à son lieu de formation à [...]. Ces frais, qui peuvent être estimés à 309 fr. (frais de déplacement Yverdon – [...] par 212 fr. [prix de l’abonnement de parcours le moins cher] + frais de repas de midi par 217 fr. [10 fr. x 21.7 jours] – indemnité forfaitaire de l’employeur par 120 fr. ; montant arrondi), font désormais partie de son minimum vital. 5.3.2 S’agissant toujours d’A.________, il faut tenir compte de son nouveau revenu dans la détermination des ressources servant à couvrir l'entretien convenable de la famille (ATF 147 III 265 consid. 7.1 in fine). Jusqu’à présent, la jurisprudence et la doctrine ont toujours considéré que les revenus des enfants ne devaient être pris en considération que dans la mesure où il était raisonnablement possible d’exiger de l’enfant qu’il participe à son entretien (Schweighauser, in Schwenzer/Fankhauser (édit.), FamKommentar Scheidung, vol. I, 3ème éd. 2017, n. 34 ad art. 285 CC). Il n'existe pas de directives précises établissant dans quelle proportion le revenu de l'enfant doit être pris en compte (TC FR, 30.04.2020, consid. 2.2 publié in RFJ 2020 p. 28 ; cf. TF, 5A_80/2014 du 15 avril 2015 consid. 2.6). L'appréciation intervient en fonction des ressources des parents et des besoins de l'enfant (TF 5A_727/2018 du 22 août 2019 consid. 5.3.1). En règle générale, la participation de l'enfant à son propre entretien ne devrait pas dépasser 60% de ses revenus, voire 80% si la situation du parent débiteur est mauvaise (Fountoulakis/Breitschmid, in Geiser/Fountoulakis (édit.), Basler Kommentar Zivilgesetzbuch, vol. I, 6e éd. 2018, n. 34 ss ad art. 276 CC ; Schweighauser, in Schwenzer/Fankhauser (édit.), FamKommentar Scheidung, vol. I, 3ème éd. 2017, n. 34 ad art. 285 CC ; voir, p. ex., TF 5C.106/2004 du 5 juillet 2004 consid. 3.4 : 50% du revenu d'apprenti en première année, 60% en deuxième année, l'enfant étant ensuite majeur ;</w:t>
      </w:r>
    </w:p>
    <w:p>
      <w:r>
        <w:t>- 24 - cf. également TC FR, 30.04.202, consid. 2.2 publié in RFJ 2020 p. 28). Il résulte par ailleurs d'arrêts du Tribunal fédéral rendus dans des causes saint-galloise (TF 5A_574/2010 du 27 décembre 2010 consid. 2.4) et bernoise (TF 5A_272/2011 du 7 septembre 2011 consid. 4.3.4), que les autorités de ces cantons semblent retenir une participation à hauteur de 30% du salaire d'apprenti (TC FR, 30.04.202, consid. 2.2 publié in RFJ 2020 p. 28). Dans sa jurisprudence récente, la Cour d'appel du Tribunal cantonal fribourgeois a également retenu une participation linéaire de 30% du salaire (TC FR, 30.04.202, consid. 2.2 publié in RFJ 2020 p. 28 ; TC FR, 5.03.2020, arrêt 101 2019 196, consid. 3.3 ; TC FR, 2.03.2020, arrêt 101 2019 347, consid. 4.2.6 ; TC FR, 25.11.2019, arrêt 101 2019 125, consid. 2.2.). Le juge dispose d'un large pouvoir d'appréciation en la matière (TF 5A_664/2015 du 25 janvier 2016 consid. 4.1). En l’espèce, les pratiques cantonales précitées apparaissent adéquates, de sorte qu’une participation financière de l'ordre de 30% sur le salaire net d’A.________, déduction faite de ses frais de repas et de déplacement par 309 fr., sera retenue ici. Le salaire brut mensualisé s’élevant à 650 fr. (600 x 13/12), on peut évaluer le revenu mensuel net à environ 600 fr. en tenant compte de charges à hauteur de 6.05%. Après avoir déduit 309 fr. de frais laissés à sa charge (cf. consid. 5.3.1 qui précède), on prendra en compte une participation de sa part à ses propres coûts directs de 90 fr. (291 fr. x 30% ; montant arrondi). Quand A.________ aura 17 ans et demi, soit en août 2022, elle gagnera 200 fr. de plus. Si l'on garde la proportion de 30%, elle pourrait contribuer à son propre entretien en y affectant 60 fr. supplémentaires. Une si faible modification ne justifie pas qu'il soit fixé un palier à cette échéance. Elle sera par ailleurs majeure six mois plus tard et la fixation de la contribution d'entretien obéira alors à d'autres règles. 5.3.3 Eu égard à la maxime d’office applicable et au fait que la situation financière de l’intimé le permet (cf. consid. 5.2.4 ci-avant), il y a lieu de déterminer le montant de la charge fiscale. A cet égard, la jurisprudence récente exige que la part des impôts du parent gardien qui</w:t>
      </w:r>
    </w:p>
    <w:p>
      <w:r>
        <w:t>- 25 - est destinée à couvrir le coût des enfants figure dans les charges de ceux- ci et suggère une répartition proportionnelle des impôts entre l’intimée et ses enfants (TF 5A_816/2019 du 25 juin 2021 destiné à la publication). Compte tenu de la situation financière modeste de la famille et du fait que cette charge est impossible à déterminer de manière précise à ce stade, puisqu’elle dépend des pensions à fixer, les impôts à prendre en compte seront estimés, pour les enfants, à 12% de leurs coûts directs (hors impôts et hors frais de déplacements et repas) et, pour l’intimé, à 12% de son revenu amputé des contribution prévisibles à verser. 5.3.4 En définitive, les coûts directs des enfants sont les suivants : A.________ Base mensuelle Fr. 600.00 Participation au loyer (15%) Fr. 294.75 Assurance-maladie obligatoire et LCA Fr. 17.05 Frais médicaux Fr. 20.00 Frais de déplacements et repas Fr. 309.00 Part d’impôts (1'240 fr. 80 x 12% ; montant arrondi) Fr. 150.00 Total des charges Fr. 1'390.80 ./. Participation propre (309 fr. + 90 fr.) Fr. 399.00 ./. Allocations familiales (jeunes en formation) Fr. 360.00 Total Fr. 631.80 E.________ Base mensuelle Fr. 600.00 Participation au loyer (15%) Fr. 294.75 Assurance-maladie obligatoire et LCA Fr. 17.05 Frais médicaux Fr. 20.00 Part d’impôts (931.80 x 12% ; montant arrondi) Fr. 110.00 Total des charges Fr. 1’041.80 ./. Allocations familiales Fr. 300.00 Total Fr. 741.80</w:t>
      </w:r>
    </w:p>
    <w:p>
      <w:r>
        <w:t>- 26 - 5.3.5 En ce qui concerne les charges de l’intimé, le jugement retient une base mensuelle par 1'200 fr., des frais de logement par 588 fr. 65, de droit de visite par 150 fr., de recherche d’emploi par 150 fr. et un remboursement à la DGAIC par 100 fr., soit 2'188 fr. 65 au total, avec la précision que son assurance-maladie obligatoire est entièrement subsidiée. Il convient d’écarter le poste de recherches d’emploi au vu du revenu hypothétique imputé. On peut en revanche admettre des frais présumés de déplacement et de repas à l’extérieur, que l’on peut évaluer en l’état à un montant équivalant à 250 francs. En outre, il y a encore lieu de tenir compte de la charge fiscale de l’intimé, que l’on peut estimer à 12% de son revenu, déduction faite de ses frais de d’acquisition du revenu et des coûts directs des enfants entièrement mis à sa charge, comme on le verra ci-après. Ce montant sera ainsi estimé à 390 fr. ([4'604 – 631.80 – 741.80] x 12% ; montant arrondi). Les charges de l’intimé sont ainsi les suivantes : Base mensuelle Fr. 1’200.00 Frais de logement Fr. 588.65 Assurance-maladie obligatoire Fr. 0.00 Droit de visite Fr. 150.00 Remboursement AJ Fr. 100.00 Frais d’acquisition du revenu Fr. 250.00 Impôts Fr. 390.00 Total des charges Fr. 2’678.65 Avec un revenu hypothétique de 4'604 fr. par mois, l’intimé dispose ainsi d’un solde de 1'925 fr. 35, qui lui permet de couvrir les coûts directs de ses enfants pour un total de 1'373 fr. 60. L'appelante fournissant déjà complètement sa contribution à l’entretien en nature en prenant soin au quotidien des enfants (garde de fait), l'intimé contribuera à leur entretien par le versement d’une</w:t>
      </w:r>
    </w:p>
    <w:p>
      <w:r>
        <w:t>- 27 - contribution d’entretien couvrant l’entier des coûts directs des enfants, aucune circonstance particulière ne justifiant ici de déroger à ce principe (cf. consid. 5.2.1 ci-avant). 5.3.6 Après couverture des coûts directs des enfants, l’intimé dispose encore d’un solde de l’ordre de 550 francs. Les enfants ont droit à une part à l’excédent d’un 1/6, de sorte que ce montant sera fixé à 100 fr. part d’impôts de 12 % comprise (550 x 1/6 x 1.12 ; montant arrondi). 5.3.7 En définitive, les contributions d’entretien dues par l’intimé en faveur de ses enfants s’élèveront à 730 fr. pour A.________ (631 fr. 80 + 100 fr ; montant arrondi) et à 840 fr. pour E.________ (741 fr. 80 + 100 fr. ; montant arrondi). Les pensions fixées couvrant l'entretien convenable des enfants, le montant de celui-ci n'a pas à figurer dans le dispositif. On peut donc supprimer les chiffres VI et VII du dispositif du jugement attaqué. 6. 6.1 L'appelante conclut encore à une contribution d'entretien pour elle-même fondée sur l'art. 125 CC, de 2'000 fr. par mois. 6.2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 clean break »)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(art. 163 CC ; ATF 129 III 7 consid. 3.1 ; ATF 127 III 136, consid. 2a ; TF, 5A_208/2020 du 26 août 2020, consid. 2.1), mais aussi celles des autres motifs qui empêcheraient l'un d'eux de pourvoir à son</w:t>
      </w:r>
    </w:p>
    <w:p>
      <w:r>
        <w:t>- 28 - entretien (TF, 5A_1008/2017 du 7 mars 2018, consid. 4.2.2 ; TF, 5A 800/2016 du 18 août 2017 consid. 6.3). C'est le principe de l'indépendance économique des époux qui est le principe dominant (ATF 141 III 465 consid. 3.1, JdT 2015 II 415 ; TF 5A 740/2020 du 19 mai 2021 consid. 4.1). En effet, par le divorce, les rapports économiques entre époux prennent fin et chacun devrait, dans la mesure du possible, veiller à ses propres intérêts financiers (ATF 141 III 465, consid. 3.1, JdT 2015 II 415 ; TF 5A_800/2016 consid. 6.1 ; TC SG, 19.06.2018, consid. 4 publié in FamPra.ch 2019 p. 333 ; Nora Hurni, Ehelicher Standard als absolute Obergrenze ?, in FamPra.ch 2020 p. 119 ss, sp. p. 119). En principe, le divorce doit constituer une coupure nette entre les conjoints et mettre fin aux liens de dépendance économique qui existent entre eux (ATF 123 III 433 consid. 4c). Un conjoint ne peut ainsi prétendre à une contribution d'entretien que s'il n'est pas en mesure de subvenir lui-même à son propre entretien convenable et que l'autre époux dispose d'une capacité contributive suffisante (ATF 137 III 102 consid.</w:t>
      </w:r>
    </w:p>
    <w:p>
      <w:r>
        <w:rPr>
          <w:b/>
        </w:rPr>
        <w:t>E. 8</w:t>
      </w:r>
    </w:p>
    <w:p>
      <w:r>
        <w:t>juin 2021, consid. 3.1 ; TF 4A_243/2017 du 30 juin 2017 consid. 3.1.3 et les références). Si elle est contestée de manière motivée par la partie adverse, l'expertise à elle seule ne saurait être probante. Elle peut cependant l'être pour autant qu'elle soit corroborée par des indices qui, eux, sont établis par des moyens de preuve (TF 5A_1040/2020 du 8 juin 2021, consid. 3.1 ; ATF 141 III 433 consid. 2.6; TF 5A_489/2019 du 24 août 2020 consid. 16.1; TF 4A_299/2017 du 2 octobre 2017 consid. 4.1).</w:t>
      </w:r>
    </w:p>
    <w:p>
      <w:r>
        <w:t>- 16 -</w:t>
      </w:r>
    </w:p>
    <w:p>
      <w:r>
        <w:rPr>
          <w:b/>
        </w:rPr>
        <w:t>E. 8.1</w:t>
      </w:r>
    </w:p>
    <w:p>
      <w:r>
        <w:t>Il résulte de ce qui précède que l’appel doit être admis partiellement et le jugement attaqué réformé en ce sens que l’intimé sera astreint à verser des contributions d’entretien de 730 fr. en faveur d’A.________ et de 840 fr. en faveur d’E.________ dès l’entrée en force du présent arrêt, allocations familiales en sus.</w:t>
      </w:r>
    </w:p>
    <w:p>
      <w:r>
        <w:rPr>
          <w:b/>
        </w:rPr>
        <w:t>E. 8.2</w:t>
      </w:r>
    </w:p>
    <w:p>
      <w:r>
        <w:t>L’appelante a sollicité le bénéfice de l’assistance judiciaire pour la procédure de deuxième instance. Les conditions cumulatives de l’octroi de l’assistance judiciaire prévues à l’art. 117 CPC étant réalisées, Me Annie Schnitzler sera désignée en qualité de conseil d'office d’J.________ pour la procédure d'appel, avec effet au 25 mai 2021. Pour sa</w:t>
      </w:r>
    </w:p>
    <w:p>
      <w:r>
        <w:t>- 30 - part, l’intimé a déjà été mis au bénéfice de l’assistance judiciaire par décisions des 25 juin et 7 juillet 2021.</w:t>
      </w:r>
    </w:p>
    <w:p>
      <w:r>
        <w:rPr>
          <w:b/>
        </w:rPr>
        <w:t>E. 8.3</w:t>
      </w:r>
    </w:p>
    <w:p>
      <w:r>
        <w:t>L’appelante n’obtenant en définitive gain de cause que partiellement, les frais judiciaires de deuxième instance, arrêtés à 1’200 fr. (art. 63 al. 2 TFJC [tarif des frais judiciaires civils du 28 septembre 2010 ; BLV 270.11.5]), seront mis par moitié à la charge de chacune des parties. Ce montant sera toutefois laissé provisoirement à la charge de l’Etat, puisque les deux parties ont été mises au bénéfice de l’assistance judiciaire (122 al. 1 let. b CPC). Vu l’issue du litige, les dépens seront compensés.</w:t>
      </w:r>
    </w:p>
    <w:p>
      <w:r>
        <w:rPr>
          <w:b/>
        </w:rPr>
        <w:t>E. 8.4</w:t>
      </w:r>
    </w:p>
    <w:p>
      <w:r>
        <w:t>Me Annie Schnitzler, conseil d’office de l’appelante, a produit sa liste des opérations le 18 août 2021 et a annoncé y avoir consacré 5,15 heures à la cause. Ce décompte apparaît adéquat et peut être admis dans son intégralité. Il s'ensuit que l’indemnité de Me Schnitzler sera fixée à hauteur de 927 fr. (180 fr. x 5,15), montant auquel s'ajoutent les débours par 18 fr. 50 (2% ; art. 3bis al. 1 RAJ [règlement sur l'assistance judiciaire en matière civile du 7 décembre 2010 ; BLV 211.02.3]) et la TVA à 7.7% sur le tout par 72 fr. 80, soit à 1'018 fr. 10 au total, arrondis à 1'018 francs.</w:t>
      </w:r>
    </w:p>
    <w:p>
      <w:r>
        <w:rPr>
          <w:b/>
        </w:rPr>
        <w:t>E. 8.5</w:t>
      </w:r>
    </w:p>
    <w:p>
      <w:r>
        <w:t>Me Sophie Scheinin-Carlsson, conseil d’office de l’intimé, a produit sa liste des opérations le 19 août 2021 et a annoncé avoir consacré 13 heures et 25 minutes à la cause. Ce décompte apparaît adéquat et peut être admis dans son intégralité. Il s'ensuit que l’indemnité de Me Scheinin-Carlsson sera fixée à hauteur de 2’415 fr. (180 fr. x 13,417), montant auquel s'ajoutent les débours par 48 fr. 30 (2% ; art. 3bis al. 1 RAJ) et la TVA à 7.7% sur le tout par 189 fr. 70, soit à 2'653 fr. au total.</w:t>
      </w:r>
    </w:p>
    <w:p>
      <w:r>
        <w:rPr>
          <w:b/>
        </w:rPr>
        <w:t>E. 8.6</w:t>
      </w:r>
    </w:p>
    <w:p>
      <w:r>
        <w:t>Les bénéficiaires de l’assistance judiciaire sont tenus au remboursement des frais judiciaires et de l’indemnité due à leur conseil</w:t>
      </w:r>
    </w:p>
    <w:p>
      <w:r>
        <w:t>- 31 - d’office mis provisoirement à la charge de l’Etat, dès qu’ils seront en mesure de le faire (art. 123 CPC). Il incombe à la DGAIC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