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TD18.050158 vom 3. Mai 2022</w:t>
      </w:r>
    </w:p>
    <w:p>
      <w:r>
        <w:t>VD Tribunal cantonal, 2022-05-03, FR</w:t>
      </w:r>
    </w:p>
    <w:p>
      <w:r>
        <w:rPr>
          <w:b/>
        </w:rPr>
        <w:t xml:space="preserve">Quelle: </w:t>
      </w:r>
      <w:r>
        <w:t>https://mcp.opencaselaw.ch/entscheid/vd_gerichte_TD18.050158</w:t>
      </w:r>
    </w:p>
    <w:p>
      <w:r>
        <w:t>FR: VD_GERICHTE TD18.050158 du 3 mai 2022</w:t>
      </w:r>
    </w:p>
    <w:p>
      <w:r>
        <w:t>IT: VD_GERICHTE TD18.050158 del 3 maggio 2022</w:t>
      </w:r>
    </w:p>
    <w:p>
      <w:pPr>
        <w:pStyle w:val="Heading2"/>
      </w:pPr>
      <w:r>
        <w:t>Erwägungen</w:t>
      </w:r>
    </w:p>
    <w:p>
      <w:r>
        <w:rPr>
          <w:b/>
        </w:rPr>
        <w:t>E. 1</w:t>
      </w:r>
    </w:p>
    <w:p>
      <w:r>
        <w:t>A.T.________, né le [...] 1976, et B.T.________, née [...] le [...] 1978, se sont mariés le [...] 2009 à [...]. [...], née le [...] 2009, et [...], née le [...] 2014, sont issues de cette union.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2e éd., Bâle 2019 [cité ci-après : CR-CPC],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gouvernée par la procédure sommaire. Partant, le délai pour déposer un recours est de dix jours (art. 321 al. 2 CPC). Le délai de recours est respecté lorsque le recours est acheminé en temps utile auprès de l’autorité de première instance, laquelle doit le transmettre sans délai à l’autorité de deuxième instance compétente (ATF 140 III 636 consid. 3.6), sans qu’il y ait lieu de faire application de l’art. 63 CPC (CREC 3 mars 2020/63).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TF 5A_301/2018 du 7 juin 2018 consid. 1.3). Pour être recevable, le recours doit contenir, sous peine d'irrecevabilité, des conclusions. Bien que le recours déploie avant tout un</w:t>
      </w:r>
    </w:p>
    <w:p>
      <w:r>
        <w:t>- 6 - effet cassatoire, le recourant doit prendre des conclusions au fond, sous peine d’irrecevabilité du recours, afin de permettre à l’autorité de recours de statuer à nouveau pour le cas où les conditions de l’art. 327 al. 3 let. b CPC seraient réunies (CREC 11 février 2020/41 ; Jeandin, CR-CPC, n. 5 ad art. 321 CPC).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SJ 2012 I 373 ; CREC 11 février 2020/41). L’exigence de conclusions chiffrées sous peine d’irrecevabilité du recours contre un prononcé sur frais ne constitue pas un formalisme excessif (TF 4D_61/2011 du 26 octobre 2011 consid. 2.3, in Revue suisse de procédure civile [RSPC] 2012 p. 92).</w:t>
      </w:r>
    </w:p>
    <w:p>
      <w:r>
        <w:rPr>
          <w:b/>
        </w:rPr>
        <w:t>E. 1.2</w:t>
      </w:r>
    </w:p>
    <w:p>
      <w:r>
        <w:t>En l’espèce, le recours a été déposé en temps utile par une partie au bénéfice d’un intérêt digne de protection (art. 59 al. 2 let. a CPC) contre une décision sujette à recours auprès du tribunal, lequel l’a transmis à l’autorité de céans. Si cette manière de procéder est pour le moins surprenante s’agissant d’une avocate, elle n’en suffit pas moins à sauvegarder le délai de recours. S’agissant des conclusions, on relèvera qu’on aurait pu attendre d’une mandataire professionnelle qu’elle formule correctement des conclusions chiffrées ; on comprend néanmoins que la recourante entend obtenir la réforme du jugement attaqué dans le sens d’une indemnisation des 20 heures et 50 minutes de travail – temps relatif à l’audience de plaidoiries finales en sus – réclamées. Partant, la recevabilité du recours peut être admise. 2.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w:t>
      </w:r>
    </w:p>
    <w:p>
      <w:r>
        <w:t>- 7 - précédente ou du recourant (Hohl, Procédure civile, tome II, 2e éd., Berne 2010, p. 452, n. 2508). S’agissant des faits retenus par le premier juge, le pouvoir d’examen de la Chambre des recours est en revanche limité à l’arbitraire (TF 4D_30/2017 du 5 décembre 2017 consid. 2.2 et les références citées). Une décision n’est pas arbitraire du seul fait qu’elle apparaît discutable ou même critiquable ; il faut qu’elle soit manifestement insoutenable dans sa motivation et dans son résultat (ATF 140 III 16 consid. 2.1). 3.</w:t>
      </w:r>
    </w:p>
    <w:p>
      <w:r>
        <w:rPr>
          <w:b/>
        </w:rPr>
        <w:t>E. 2</w:t>
      </w:r>
    </w:p>
    <w:p>
      <w:r>
        <w:t>Par décision du 4 décembre 2018, la Présidente du Tribunal civil de l’arrondissement de l’Est vaudois (ci-après : la présidente) a accordé le bénéfice de l’assistance judiciaire à A.T.________ dans la cause en divorce que celui-ci entendait introduire contre B.T.________, avec effet au 29 octobre 2018, dans la mesure d’une exonération des avances et des frais judiciaires.</w:t>
      </w:r>
    </w:p>
    <w:p>
      <w:r>
        <w:rPr>
          <w:b/>
        </w:rPr>
        <w:t>E. 3</w:t>
      </w:r>
    </w:p>
    <w:p>
      <w:r>
        <w:t>a) Le 7 mars 2019, A.T.________ a saisi le tribunal d’une demande unilatérale en divorce dirigée contre B.T.________. b) Par décision du 29 mars 2019, le bénéfice de l’assistance judiciaire a été accordé à B.T.________ dans la cause en divorce précitée avec effet au 29 mars 2019, Me [...] étant désigné en qualité de conseil d’office. c) Une audience de conciliation a eu lieu le 29 avril 2019. d) Le 10 décembre 2019, A.T.________ a déposé une demande motivée en divorce. e) Le 7 février 2020, B.T.________ a déposé une réponse.</w:t>
      </w:r>
    </w:p>
    <w:p>
      <w:r>
        <w:t>- 4 - f) A.T.________ s’est déterminé par réplique du 21 avril 2020. g) Par acte du 2 juin 2020, B.T.________ a dupliqué.</w:t>
      </w:r>
    </w:p>
    <w:p>
      <w:r>
        <w:rPr>
          <w:b/>
        </w:rPr>
        <w:t>E. 3.1</w:t>
      </w:r>
    </w:p>
    <w:p>
      <w:r>
        <w:t>La recourante se plaint de ne pas avoir été indemnisée à hauteur des 20 heures et 50 minutes – audience de plaidoiries finales non comprise – annoncées dans sa liste des opérations du 6 septembre 2021. Elle fonde son argumentation sur la comparaison entre sa rémunération et les heures rémunérées à Me [...]. Il serait choquant que, pour « exactement la même période », le conseil précité ait été rémunéré à hauteur de plus de 50 heures alors que les heures indemnisables de la recourante ont été arrêtées à moins de 20 heures. Celle-ci relève encore, s’agissant du temps consacré à la préparation de plaidoiries finales, que cette opération impliquait la reprise d’un dossier particulièrement volumineux, de sorte que la réduction du temps annoncé à cet égard ne se justifierait pas.</w:t>
      </w:r>
    </w:p>
    <w:p>
      <w:r>
        <w:rPr>
          <w:b/>
        </w:rPr>
        <w:t>E. 3.2.1</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références citées). Pour fixer la quotité de l’indemnité du conseil d'office, l’autorité cantonale doit s’inspirer des critères applicables à la modération</w:t>
      </w:r>
    </w:p>
    <w:p>
      <w:r>
        <w:t>- 8 -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loc. cit. ; TF 5A_82/2018, déjà cité, consid. 6.2.2). L’avocat doit toutefois bénéficier d'une marge d'appréciation suffisante pour déterminer l'importance du travail qu'exige l'affaire (TF 5A_10/2018 du 17 avril 2018 consid. 3.2.2.3, in RSPC 2018 p. 370 ; TF 5D_149/2016 loc. cit.). Il n’y a pas inégalité de traitement ni arbitraire du seul fait que les heures et la rémunération admissibles de l’avocat d’office de la partie adverse sont plus élevées (CREC 11 janvier 2018/9). Dans le canton de Vaud, l'art. 2 al. 1 RAJ (règlement sur l’assistance judiciaire en matière civile du 7 décembre 2010 ; BLV 211.02.3) précise que le conseil juridique commis d’office a droit au remboursement de ses débours et à un défraiement équitable, fixé en</w:t>
      </w:r>
    </w:p>
    <w:p>
      <w:r>
        <w:t>- 9 - considération de ‘'importance de la cause, de ses difficultés, de l’ampleur du travail et du temps consacré par l’avocat d’office. Le juge apprécie l’étendue des opérations nécessaires pour la conduite du procès ; il applique le tarif horaire de 180 fr. pour un avocat et de 110 fr. pour un avocat stagiaire (art. 2 al. 1 let. a et b RAJ).</w:t>
      </w:r>
    </w:p>
    <w:p>
      <w:r>
        <w:rPr>
          <w:b/>
        </w:rPr>
        <w:t>E. 3.2.2</w:t>
      </w:r>
    </w:p>
    <w:p>
      <w:r>
        <w:t>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141 III 569 consid. 2.3.3 ; ATF 138 III 374 consid. 4.3.1 ; TF 5D_43/2019 du 24 mai 2019 consid. 3.2.2.1).</w:t>
      </w:r>
    </w:p>
    <w:p>
      <w:r>
        <w:rPr>
          <w:b/>
        </w:rPr>
        <w:t>E. 3.3.1</w:t>
      </w:r>
    </w:p>
    <w:p>
      <w:r>
        <w:t>Les premiers juges ont réduit le temps annoncé par chacun des conseils d’office des parties. Ils ont ainsi déduit 3 heures et 55 minutes des 20 heures et 50 minutes annoncées par la recourante pour la période du 11 janvier au 6 septembre 2021. Le tribunal a en particulier déduit 1 heure et 35 minutes pour la prise de connaissance de courriers et les avis de transmission, ainsi que 20 minutes pour l’envoi d’un procédé écrit le 22 avril 2021, au motif que ces opérations n’avaient pas à être couvertes par l’assistance judiciaire. Les premiers juges ont en outre considéré que le temps annoncé à hauteur de 5 heures pour la reprise du dossier et la préparation de l’audience de plaidoiries finales était excessif et devait être réduit à 3 heures, vu la simplicité des questions demeurées litigieuses. S’agissant de Me [...], les premiers juges ont considéré que le temps consacré à l’envoi de pièces à la cliente ou aux avis de transmission n’avait pas à être indemnisé par l’assistance judiciaire, de sorte qu’il convenait de déduire 1 heure des opérations annoncées par l’avocat. En outre, le temps annoncé pour la reprise du dossier et la préparation de l’audience de plaidoiries finales, à hauteur de 4 heures, était excessif et devait être réduit à 3 heures, compte tenu de la relative simplicité de la cause.</w:t>
      </w:r>
    </w:p>
    <w:p>
      <w:r>
        <w:t>- 10 -</w:t>
      </w:r>
    </w:p>
    <w:p>
      <w:r>
        <w:rPr>
          <w:b/>
        </w:rPr>
        <w:t>E. 3.3.2</w:t>
      </w:r>
    </w:p>
    <w:p>
      <w:r>
        <w:t>On relève d’emblée que la critique générale de la recourante relative à la comparaison de son indemnité avec celle allouée au conseil adverse ne satisfait pas aux exigences de motivation découlant de l’art. 321 al. 1 CPC, de sorte que seul le grief relatif au retranchement du temps nécessaire à la préparation de l’audience de plaidoiries finales peut être examiné. On rappellera par surabondance qu’on ne saurait retenir une quelconque inégalité de traitement entre conseils du simple fait que les heures indemnisées à l’un sont plus élevées que celles allouées à l’autre. Cela est d’autant plus vrai en l’espèce que contrairement à ce que soutient la recourante, la période indemnisée n’est pas la même pour les deux conseils, Me [...] ayant été indemnisé pour des opérations effectuées sur plus de deux ans alors que l’indemnisation de la recourante porte sur moins d’une année d’activité. La recourante est au demeurant malvenue de se plaindre d’une prétendue inégalité de traitement entre conseils, dès lors que c’est le même type d’opérations qui a été retranché chez les deux conseils, qui plus est pour les mêmes motifs ; à titre d’exemple, les premiers juges ont réduit les opérations des deux conseils à 3 heures pour la préparation de l’audience de plaidoiries finales. S’agissant du temps indemnisé pour la préparation de dite audience, insuffisant selon la recourante, celle-ci n’étaye pas sa critique. Le fait que le dossier soit prétendument très volumineux n’implique pas, en soi, que le temps consacré à la seule question demeurée litigieuse, soit les contributions d’entretien des enfants, soit également important. S’ensuit le rejet du grief et avec lui de l’entier du recours. 4. Le recours, manifestement infondé, doit être rejeté dans la mesure de sa recevabilité et le jugement confirmé. Vu l’issue réservée au recours, les frais judiciaires de deuxième instance, arrêtés à 100 fr. (art. 69 al. 1 et 70 al. 3 TFJC [tarif des frais judiciaires civils du 28 septembre 2010 ; BLV 270.11.5]), seront mis à</w:t>
      </w:r>
    </w:p>
    <w:p>
      <w:r>
        <w:t>- 11 - la charge de la recourante (art. 106 al. 1 CPC). Il n’y a pas lieu à l’allocation de dépens de deuxième instance. Par ces motifs, la Chambre des recours civile du Tribunal cantonal, en application de l’art. 322 al. 1 CPC, prononce : I. Le recours est rejeté dans la mesure de sa recevabilité. II. Le jugement est confirmé. III. Les frais judiciaires de deuxième instance, arrêtés à 100 fr. (cent francs), sont mis à la charge de la recourante K.________. IV. L’arrêt est exécutoire. Le président : La greffière : Du L’arrêt qui précède, dont la rédaction a été approuvée à huis clos, est notifié à : - K.________, - A.T.________ personnellement. La Chambre des recours civile considère que la valeur litigieuse est inférieure à 30'000 francs.</w:t>
      </w:r>
    </w:p>
    <w:p>
      <w:r>
        <w:t>- 12 -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4</w:t>
      </w:r>
    </w:p>
    <w:p>
      <w:r>
        <w:t>Une audience d’instruction et de premières plaidoiries a été tenue le 11 janvier 2021.</w:t>
      </w:r>
    </w:p>
    <w:p>
      <w:r>
        <w:rPr>
          <w:b/>
        </w:rPr>
        <w:t>E. 5</w:t>
      </w:r>
    </w:p>
    <w:p>
      <w:r>
        <w:t>Par décision du 19 février 2021, l’assistance judiciaire accordée à A.T.________ a été étendue à la commission d’un conseil d’office, la recourante étant nommée ès qualités avec effet au 11 janvier 2021.</w:t>
      </w:r>
    </w:p>
    <w:p>
      <w:r>
        <w:rPr>
          <w:b/>
        </w:rPr>
        <w:t>E. 6</w:t>
      </w:r>
    </w:p>
    <w:p>
      <w:r>
        <w:t>Le 16 février 2021, B.T.________ a déposé une requête de mesures provisionnelles. A.T.________ s’est déterminé sur cette requête le 22 avril 2021. Lors de l’audience de mesures provisionnelles du 26 avril 2021, les parties ont retiré leurs conclusions provisionnelles et partiellement transigé leur litige sur le fond, la question des contributions d’entretien dues aux enfants des parties demeurant seule litigieuse.</w:t>
      </w:r>
    </w:p>
    <w:p>
      <w:r>
        <w:rPr>
          <w:b/>
        </w:rPr>
        <w:t>E. 7</w:t>
      </w:r>
    </w:p>
    <w:p>
      <w:r>
        <w:t>L’audience de plaidoiries finales s’est déroulée le 6 septembre 2021. A cette occasion, B.T.________ a déposé des conclusions actualisées. Me [...] et la recourante y ont en outre déposé leurs listes des opérations. Me [...] a annoncé avoir consacré 53 heures et 51 minutes – dont 1 heure pour les envois de pièces à la cliente et les avis de transmission, 4 heures pour la reprise du dossier et la préparation de l’audience de plaidoiries finales et 1 heure et 30 minutes pour l’assistance de sa cliente lors de dite audience – à la cause entre le 26 mars 2019 et le 6 septembre 2021. La recourante a, pour sa part, annoncé avoir consacré 20 heures et 50 minutes – dont 10 minutes effectuées par une avocate stagiaire – à la cause entre le 11 janvier et le 6 septembre 2021 ; ce temps comprenait 1 heure et 35 minutes pour la prise de connaissance de</w:t>
      </w:r>
    </w:p>
    <w:p>
      <w:r>
        <w:t>- 5 - courriers et les avis de transmission, 20 minutes pour l’envoi d’un procédé écrit le 22 avril 2021 et 5 heures pour la reprise du dossier et la préparation de l’audience de plaidoiries finales.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