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TD18.036699 vom 20. August 2021</w:t>
      </w:r>
    </w:p>
    <w:p>
      <w:r>
        <w:t>VD Tribunal cantonal, 2021-08-20, FR</w:t>
      </w:r>
    </w:p>
    <w:p>
      <w:r>
        <w:rPr>
          <w:b/>
        </w:rPr>
        <w:t xml:space="preserve">Quelle: </w:t>
      </w:r>
      <w:r>
        <w:t>https://mcp.opencaselaw.ch/entscheid/vd_gerichte_TD18.036699</w:t>
      </w:r>
    </w:p>
    <w:p>
      <w:r>
        <w:t>FR: VD_GERICHTE TD18.036699 du 20 août 2021</w:t>
      </w:r>
    </w:p>
    <w:p>
      <w:r>
        <w:t>IT: VD_GERICHTE TD18.036699 del 20 agosto 2021</w:t>
      </w:r>
    </w:p>
    <w:p>
      <w:pPr>
        <w:pStyle w:val="Heading2"/>
      </w:pPr>
      <w:r>
        <w:t>Erwägungen</w:t>
      </w:r>
    </w:p>
    <w:p>
      <w:r>
        <w:rPr>
          <w:b/>
        </w:rPr>
        <w:t>E. 1</w:t>
      </w:r>
    </w:p>
    <w:p>
      <w:r>
        <w:t>U.________, né le [...] 1960, et Y.________, née [...] le [...] 1973, tous deux de nationalité suisse, se sont mariés le [...] 1998 à [...] (Roumanie). Deux enfants sont issus de cette union : - Q.________, née le [...] 1999, aujourd’hui majeure ; - E.________, né le [...] 2004.</w:t>
      </w:r>
    </w:p>
    <w:p>
      <w:r>
        <w:rPr>
          <w:b/>
        </w:rPr>
        <w:t>E. 1.1</w:t>
      </w:r>
    </w:p>
    <w:p>
      <w:r>
        <w:t>ad art. 179 et réf. cit.). Lorsque le débiteur diminue son revenu dans l’intention de nuire, une modification de la contribution d’entretien est dès lors exclue, même s’il ne peut être revenu en arrière sur cette diminution de revenu. Il y a intention de nuire lorsque la diminution du revenu intervient en vue du procès, afin de réduire la contribution en faveur de l’autre conjoint (ATF 143 III 233 consid. 3.4, JdT 2017 II 455 ; TF 5A_403/2019 du 12 mars 2020 consid. 4.2, FamPra.ch 2020 p. 813 ; cf. Guillod, L’oisiveté organisée ne paye plus, Newsletter DroitMatrimonial.ch.</w:t>
      </w:r>
    </w:p>
    <w:p>
      <w:r>
        <w:t>- 18 - été 2017). On admettra une telle volonté de nuire lorsque le débiteur donne son congé sans que l’employeur ne lui ait donné un motif de le faire (TF 5A_297/2016 du 2 mai 2017 consid. 4.4.2, non publié à l’ATF 143 III 233). Cette intention de nuire constitue un fait interne, qui ne se prouve que par des circonstances extérieures et qui ne peut faire l’objet que d’une preuve par indices. Dans la preuve par indices, il est présumé qu’un fait non prouvé est établi parce que cette conclusion s’impose des faits prouvés (indices) selon l’expérience de la vie (TF 5A_403/2019 du 12 mars 2020 consid. 4.3, FamPra.ch 2020 p. 813). Une telle intention ne doit être admise qu’avec retenue (TF 5A_403/2019 du 12 mars 2020 consid. 4.2, FamPra.ch 2020 p. 813). Il ne suffit à cet égard pas que le comportement de l’intéressé apparaisse objectivement peu censé. Il faut bien plutôt des indices clairs qui permettent sans doute possible de conclure que la partie a cherché à se soustraire à son obligation d’entretien. Tel est le cas lorsque les motifs donnés par la partie sont sans relation avec les faits constatés ou lorsque son comportement avant et après la résiliation permet manifestement de conclure à un abus (TF 5A_561/2020 du 3 mars 2021 consid. 5.2.1 ; TF 5A_403/2019 du 12 mars 2020 consid. 4.3.2, FamPra.ch 2020 p. 813).</w:t>
      </w:r>
    </w:p>
    <w:p>
      <w:r>
        <w:rPr>
          <w:b/>
        </w:rPr>
        <w:t>E. 1.2</w:t>
      </w:r>
    </w:p>
    <w:p>
      <w:r>
        <w:t>En l’espèce, formé en temps utile par une partie qui a un intérêt digne de protection (art. 59 al. 2 let. a CPC) et portant sur des conclusions patrimoniales qui, capitalisées (art. 92 CPC), sont supérieures à 10'000 fr., l’appel est recevable. 2.</w:t>
      </w:r>
    </w:p>
    <w:p>
      <w:r>
        <w:rPr>
          <w:b/>
        </w:rPr>
        <w:t>E. 2</w:t>
      </w:r>
    </w:p>
    <w:p>
      <w:r>
        <w:t>Les parties vivent séparées depuis le mois de septembre 2015. Les modalités de leur séparation sont régies par une convention signée 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w:t>
      </w:r>
    </w:p>
    <w:p>
      <w:r>
        <w:t>- 11 - l'art. 57 CPC (Jeandin, Commentaire romand, Code de procédure civile, 2e éd., Bâle 2019, nn. 2 ss ad art. 310 CPC). Elle contrôle librement l’appréciation des preuves effectuées par le juge de première instance et vérifie si celui-ci pouvait admettre les faits qu’il a retenus (ATF 138 III 374 consid. 4.3.1 ; TF 4A_215/2017 du 15 janvier 2019 consid. 3.4 ; TF 4A_452/2016 du 2 novembre 2016 consid. 3). Le large pouvoir d'examen en fait et en droit ainsi défini s'applique même si la décision attaquée est de nature provisionnelle (JdT 2011 III 43 consid. 2 et les références citées).</w:t>
      </w:r>
    </w:p>
    <w:p>
      <w:r>
        <w:rPr>
          <w:b/>
        </w:rPr>
        <w:t>E. 2.2.1</w:t>
      </w:r>
    </w:p>
    <w:p>
      <w:r>
        <w:t>Dans le cadre de mesures provisionnelles – auxquelles s'appliquent par analogie les dispositions régissant la protection de l'union conjugale par renvoi de l'art. 276 al. 1 CPC –, le juge établit les faits d'office en vertu de la maxime inquisitoire (art. 272 CPC) et statue en application de la procédure sommaire (art. 271 let. a CPC). Il se prononce ainsi sur la base de la simple vraisemblance des faits après une administration limitée des preuves (ATF 138 III 97 consid. 3.4.2 et les références citées ; TF 5A_466/2019 du 25 septembre 2019 consid. 4.2), en se fondant sur les moyens de preuve immédiatement disponibles (ATF 139 III 86 consid. 4.2 ; 131 III 473 consid. 2.3 ; TF 5A_157/2020 du 7 août 2020 consid. 4.2 et les références citées).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 Selon la jurisprudence, l'art. 272 CPC prévoit une maxime inquisitoire dite sociale ou limitée, qui n'oblige pas le juge à rechercher lui- même l'état de fait pertinent (TF 5A_466/2019 du 25 septembre 2019 consid. 4.2). La maxime inquisitoire sociale ne dispense en effet pas les parties de collaborer activement à la procédure. Il leur incombe de renseigner le juge sur les faits de la cause et de lui indiquer les moyens de preuve disponibles (ATF 130 III 102 consid. 2.2). Il n'appartient pas au</w:t>
      </w:r>
    </w:p>
    <w:p>
      <w:r>
        <w:t>- 12 - tribunal de conseiller les parties du point de vue procédural. En revanche, l'art. 296 al. 1 CPC prévoit une maxime inquisitoire illimitée en ce qui concerne les questions relatives aux enfants. La maxime inquisitoire illimitée ne dispense toutefois pas non plus les parties de collaborer activement à la procédure, de renseigner le juge sur les faits de la cause et de lui indiquer les moyens de preuve disponibles (ATF 140 III 485 consid. 3.3 ; TF 5A_855/2017 du 11 avril 2018 consid. 4.3.2 et les références citées). Dans la mesure où l'établissement d'un fait est nécessaire pour déterminer la contribution d'entretien due aux enfants, la maxime inquisitoire de l'art. 296 al. 1 CPC lui est applicable même s'il sert ensuite aussi à fixer celle du conjoint (ATF 128 III 411 consid. 3.2.2 ; TF 5A_20/2020 du 28 août 2020 consid. 4.2 et les références citées).</w:t>
      </w:r>
    </w:p>
    <w:p>
      <w:r>
        <w:rPr>
          <w:b/>
        </w:rPr>
        <w:t>E. 2.2.2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Les conditions de l'art. 317 al. 1 CPC sont applicables même lorsque la cause est soumise à la maxime inquisitoire sociale (ATF 144 III 349 consid. 4.2.1 et les réf. cit. ; ATF 143 III 42 consid. 4.2 ; ATF 142 III 413 consid. 2.2.2). Lorsque la procédure est soumise à la maxime inquisitoire illimitée, s’agissant notamment de contribution d’entretien concernant des enfants mineurs, l’art. 317 al.1 CPC n’est pas applicable, de sorte que les parties peuvent présenter des nova en appel même si les conditions de cette disposition ne sont pas réunies (ATF 144 III 349 consid. 4.2.1 et les</w:t>
      </w:r>
    </w:p>
    <w:p>
      <w:r>
        <w:t>- 13 - références citées ; TF 5A_800/2019 du 9 février 2021 consid. 2.2, destiné à publication ; TF 5A_67/2020 du 10 août 2020 consid. 3.3.2).</w:t>
      </w:r>
    </w:p>
    <w:p>
      <w:r>
        <w:rPr>
          <w:b/>
        </w:rPr>
        <w:t>E. 2.2.3</w:t>
      </w:r>
    </w:p>
    <w:p>
      <w:r>
        <w:t>En l’espèce, les modalités de prises en charge des frais relatifs à l’enfant mineur des parties ne fait pas l’objet de la procédure de mesures provisionnelles initiée par l’appelant. Est seule débattue la contribution d’entretien qu’il revendique pour lui-même. Il s’ensuit que la recevabilité des pièces produites doit être examinée au regard des conditions posées par l’art. 317 al. 1 CPC, ce qui n’est d’ailleurs pas contesté. Cela étant, les deux pièces produites par U.________ avec son appel sont des pièces de forme et sont dès lors recevables. S’agissant des pièces produites par l’intimée, la pièce 1102 figure au dossier de première instance ; les pièces 1103 et 1104 ne sont que des copies des écritures de la partie appelante ; la pièce 1105 est un pseudo novum qui ne pouvait toutefois être produite avant que l’intimée n’ait connaissance du voyage entrepris par l’appelant sur le X.________ ; les pièces 1106 et 1107 sont des nova que l’intimée a produit immédiatement après en avoir eu connaissance. Toutes ces pièces sont ainsi recevables. Enfin, la question de la recevabilité de la pièce 1101 de l’intimée, à savoir le contrat de vente signé le 18 février 2021 – soit entre l’audience de première instance du 26 janvier 2021 et l’ordonnance litigieuse datée du 22 mars 2021 –, peut demeurer indécise, dans la mesure où l’appel doit de toute manière être rejeté (cf. consid. 6 infra), même sans la prise en compte de cette pièce. Il a été tenu compte des éléments ressortant des pièces recevables dans la mesure de leur pertinence pour la résolution du litige.</w:t>
      </w:r>
    </w:p>
    <w:p>
      <w:r>
        <w:rPr>
          <w:b/>
        </w:rPr>
        <w:t>E. 2.3.1</w:t>
      </w:r>
    </w:p>
    <w:p>
      <w:r>
        <w:t>Selon l’art. 316 CPC, l’instance d’appel peut ordonner des débats ou statuer sur pièces (al. 1), ordonner un deuxième échange d’écritures (al. 2) et administrer les preuves (al. 3)</w:t>
      </w:r>
    </w:p>
    <w:p>
      <w:r>
        <w:t>- 14 - Cette disposition ne confère pas aux parties un droit à la réouverture de la procédure probatoire et à l'administration des preuves (TF 4A_616/2016 du 10 mai 2017 consid. 4.1).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 4 avril 2017 consid. 3.1.2.2 ; TF 5A_86/2016 du 5 septembre 2016 consid. 3.1 ; TF 5A_851/2015 du 23 mars 2016 consid.</w:t>
      </w:r>
    </w:p>
    <w:p>
      <w:r>
        <w:rPr>
          <w:b/>
        </w:rPr>
        <w:t>E. 2.3.2</w:t>
      </w:r>
    </w:p>
    <w:p>
      <w:r>
        <w:t>En l’espèce, les pièces dont l’intimée a requis la production le 17 mai 2021 ne sont pas nécessaires à l’instruction de la cause, l’appel devant, comme on va le voir ci-après, de toute manière être rejeté sur la base du dossier existant. 3. Dans un premier grief, l’appelant invoque une violation du principe de la confidentialité de la procédure de conciliation, consacré à l’art. 205 CPC. Il fait en particulier valoir que le premier juge a fait état dans l’ordonnance litigieuse de discussions transactionnelles ayant eu lieu en audience. Il en conclut qu’il aurait établi les faits de manière arbitraire et que son raisonnement serait faussé.</w:t>
      </w:r>
    </w:p>
    <w:p>
      <w:r>
        <w:rPr>
          <w:b/>
        </w:rPr>
        <w:t>E. 3</w:t>
      </w:r>
    </w:p>
    <w:p>
      <w:r>
        <w:t>a) Le 23 août 2018, Y.________, a déposé une demande unilatérale en divorce à l’encontre de U.________. Lors de l’audience de conciliation tenue le 30 octobre 2018 par le président, les parties ont signé une convention partielle sur les effets accessoire du divorce, prévoyant en substance que l’autorité parentale sur l’enfant E.________ était attribuée conjointement aux parties (ch. I), que le droit de déterminer le lieu de résidence de cet enfant était attribué à Y.________ (ch. II), et que U.________ jouirait d’un libre et large droit de visite sur son fils ou, à défaut d’accord, un droit de visite usuel (ch. III). b) Par requête de mesures provisionnelles du 7 décembre 2020, U.________ a pris les conclusions suivantes : « I. A compter du 1er janvier 2021, Y.________ contribuera à l’entretien de son époux U.________, par le régulier versement, d’avance le premier de chaque mois, d’une contribution d’entretien mensuelle de CHF 10'000.-, montant qui sera cas échéant précisé en cours d’instance une fois toutes les pièces requises produites.</w:t>
      </w:r>
    </w:p>
    <w:p>
      <w:r>
        <w:t>- 8 - II. [...] versera à U.________, à titre d’avance, une provisio ad litem à hauteur de CHF 15'000.- dans un délai de 10 jours dès l’ordonnance de mesures provisionnelles à intervenir. III. U.________ se réserve le droit d’augmenter ses prétentions dès la transmission au Président du Tribunal des pièces requises en main d’Y.________ et de la Clinique G.________. IV. Sous suite de frais et dépens. » c) L’audience de mesures provisionnelles s’est tenue le 26 janvier 2021 en présence des parties, assistées de leur conseil respectif. La conciliation a été vainement tentée.</w:t>
      </w:r>
    </w:p>
    <w:p>
      <w:r>
        <w:rPr>
          <w:b/>
        </w:rPr>
        <w:t>E. 3.1</w:t>
      </w:r>
    </w:p>
    <w:p>
      <w:r>
        <w:t>L’art. 205 al. 1 CPC, qui se situe dans le « Titre 1 Conciliation », prévoit que les dépositions des parties ne doivent ni figurer au procès-verbal de conciliation ni être prises en compte par la suite, durant la procédure au fond.</w:t>
      </w:r>
    </w:p>
    <w:p>
      <w:r>
        <w:rPr>
          <w:b/>
        </w:rPr>
        <w:t>E. 3.2</w:t>
      </w:r>
    </w:p>
    <w:p>
      <w:r>
        <w:t>En préambule, il est relevé que l’art 205 al. 1 CPC dont se prévaut l’appelant concerne l’audience de conciliation en tant que préalable obligatoire avant l’introduction d’une procédure au fond au sens du CPC. Or, les discussions transactionnelles auxquelles l’intéressé fait</w:t>
      </w:r>
    </w:p>
    <w:p>
      <w:r>
        <w:t>- 15 - référence ont eu lieu lors de l’audience de mesures provisionnelles du 26 janvier 2021, – et pas lors d’une audience de conciliation au sens des art. 197 ss CPC –, de sorte que l’application de l’art. 205 al. 1 CPC est en l’occurrence douteuse. Si on peut néanmoins admettre que la référence, même brève, au sort des pourparlers transactionnels n’avait pas sa place dans l’ordonnance entreprise, cette seule mention ne saurait évidemment suffire pour retenir que le premier juge aurait établi les faits de manière arbitraire ou tenu un raisonnement erroné. Le moyen doit par conséquent être rejeté.</w:t>
      </w:r>
    </w:p>
    <w:p>
      <w:r>
        <w:rPr>
          <w:b/>
        </w:rPr>
        <w:t>E. 4</w:t>
      </w:r>
    </w:p>
    <w:p>
      <w:r>
        <w:t>L’appelant invoque une violation du principe d’entretien réciproque des époux en mesures provisionnelles, et estime avoir droit au versement d’une contribution d’entretien de la part de l’intimée dans la mesure où sa situation financière se serait détériorée.</w:t>
      </w:r>
    </w:p>
    <w:p>
      <w:r>
        <w:rPr>
          <w:b/>
        </w:rPr>
        <w:t>E. 4.1.1</w:t>
      </w:r>
    </w:p>
    <w:p>
      <w:r>
        <w:t>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(TF 5A_63/2018 du 14 août 2018 consid. 3.1 et les références citées). Aux termes de l’art. 179 al. 1, 1re phrase, CC, le juge prononce – à la requête d’un époux – les modifications commandées par les faits nouveaux et rapporte les mesures prises lorsque les causes qui les ont déterminées n’existent plus. Selon la jurisprudence, la modification des mesures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w:t>
      </w:r>
    </w:p>
    <w:p>
      <w:r>
        <w:t>- 16 - comme prévu, ou encore si la décision de mesures provisoires est apparue plus tard injustifiée parce que le juge appelé à statuer n’a pas eu connaissance de faits importants (ATF 143 III 617 consid. 3.1 et les références citées ; TF 5A_611/2019 du 29 avril 2020 consid. 4.1 ; TF 5A_501/2018 du 22 novembre 2018 consid. 2 ; TF 5A_848/2018 du 16 novembre 2018 consid. 5.1.2 ; TF 5A_297/2016 du 2 mai 2017 consid. 2.1, non publié aux ATF 143 III 233). Le fait revêt un caractère nouveau lorsqu’il n’a pas été pris en considération pour fixer la contribution d’entretien dans le jugement précédent. Ce qui est déterminant, ce n’est pas la prévisibilité des circonstances nouvelles, mais exclusivement le fait que la rente ait été fixée sans tenir compte de ces circonstances futures (ATF 131 III 189 consid. 2.7.4 [à propos de l’art. 129 al. 1 CC] ; TF 5A_64/2018 du 14 août 2018 consid. 3.1 ; TF 5A_617/2017 du 28 septembre 2017 consid. 3.1 ; TF 5A_677/2016 du 16 février 2017 consid. 2.1.1 ; cf. ég. ATF 141 III 376 consid. 3.3.1 ; TF 5A_842/2015 du 26 mai 2016 consid. 2.4.1, non publié aux ATF 142 III 518).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(ATF 138 III 289 consid. 11.1.1 [à propos de l’art. 129 al. 1 CC] ; TF 5A_154/2019 du 1er octobre 2019 consid. 4.1, FamPra.ch 2020, p. 177 ; TF 5A_64/2018 précité consid. 3.1 ; TF 5A_617/2017 précité consid. 3.1).</w:t>
      </w:r>
    </w:p>
    <w:p>
      <w:r>
        <w:rPr>
          <w:b/>
        </w:rPr>
        <w:t>E. 4.1.2</w:t>
      </w:r>
    </w:p>
    <w:p>
      <w:r>
        <w:t>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(TF 5A_787/2017 du 28 novembre 2017 consid. 5.1 et les références citées ; Juge délégué CACI 10 janvier 2020/12 consid. 3.1.1). Un changement des circonstances peut résulter notamment d’une invalidité ou d’une maladie de longue durée, de la survenance de la retraite ou de la perte d’un emploi (TF 5A_399/2016 du 6 mars 2017</w:t>
      </w:r>
    </w:p>
    <w:p>
      <w:r>
        <w:t>- 17 - consid. 4.1.1, non publié à l’ATF 143 III 177 ; TF 5A_35/2018 du 31 mai 2018 consid. 3.1).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(ATF 138 III 289 consid. 11.1.1 [concernant l’art. 129 CC] ; ATF 137 III 604 consid. 4.1.2 [concernant l’art. 286 al. 2 CC] ; TF 5A_185/2019 du 26 septembre 2019 consid. 3.1 ; TF 5A_337/2019 du 12 août 2019 consid. 4.1 et les références citées). Pour que le juge puisse procéder à cette actualisation, il n’est pas nécessaire que la modification survenue dans ces autres éléments constitue également un fait nouveau (TF 5A_461/2019 précité consid. 5.1).</w:t>
      </w:r>
    </w:p>
    <w:p>
      <w:r>
        <w:rPr>
          <w:b/>
        </w:rPr>
        <w:t>E. 4.1.3</w:t>
      </w:r>
    </w:p>
    <w:p>
      <w:r>
        <w:t>supra), une modification du régime relatif à la contribution d’entretien entre époux convenu par la convention du 3 juillet 2015 est exclue. Le grief de l’appelant doit ainsi être rejeté et l’ordonnance litigieuse confirmée sur ce point, par substitution de motifs.</w:t>
      </w:r>
    </w:p>
    <w:p>
      <w:r>
        <w:rPr>
          <w:b/>
        </w:rPr>
        <w:t>E. 4.2.1</w:t>
      </w:r>
    </w:p>
    <w:p>
      <w:r>
        <w:t>Le premier juge, considérant que la prise de retraite anticipée de l’appelant avait incontestablement entraîné une détérioration de ses revenus et constituait ainsi un fait nouveau et durable, a toutefois retenu que l’intéressé avait sciemment diminué ses revenus, n’étant nullement empêché d’exercer une activité lucrative. Il lui a dès lors imputé un revenu hypothétique correspondant au revenu auquel il avait renoncé, lequel lui permettait de couvrir les charges qu’il alléguait. L’appelant conteste ce raisonnement. Il se plaint d’une constatation inexacte de son état de santé. Il fait valoir qu’il aurait prouvé ne pas pouvoir continuer d’exercer à plein temps sa profession d’agent d’assurance par la production de certificats médicaux (pièces 5 et 28) et</w:t>
      </w:r>
    </w:p>
    <w:p>
      <w:r>
        <w:t>- 19 - d’une attestation (pièce 27). Ainsi, ses facultés d’analyses, de vivacité d’esprit et de prise de position étaient altérées par la dépression et aucune autre possibilité qu’une retraite anticipée ne s’offrait à lui. Un temps partiel n’aurait pas non plus été envisageable, les troubles étant quotidien et indépendants de l’activité exercée. Quand bien même il n’aurait pas mis un terme à sa carrière, son employeur se serait alors retrouvé contraint de le licencier. Il conteste ainsi avoir entrepris des démarches afin d’obtenir une retraite anticipée par pure convenance personnelle. Le premier juge ne pouvait dès lors pas lui imputer un revenu hypothétique. L’intimée, de son côté, fait notamment valoir que l’appelant s’est volontairement mis dans la même situation que celle du débiteur qui diminue son revenu dans l’intention de nuire.</w:t>
      </w:r>
    </w:p>
    <w:p>
      <w:r>
        <w:rPr>
          <w:b/>
        </w:rPr>
        <w:t>E. 4.2.2</w:t>
      </w:r>
    </w:p>
    <w:p>
      <w:r>
        <w:t>En l’espèce, dès lors que les parties ont convenu de renoncer à toute contribution d’entretien l’une à l’égard de l’autre par le chiffre VIII de la convention du 3 juillet 2015, ratifiée le 18 septembre 2015 pour valoir ordonnance de mesures protectrices de l’union conjugale, la modification de cette mesure n’est effectivement possible qu’aux conditions de l’art. 179 al. 1 CC. Si la prise par l’appelant d’une retraite anticipée et la diminution de revenu qui en découle constitue effectivement un fait nouveau et durable au sens de cette disposition, il convient toutefois de déterminer si ces circonstances nouvelles n’ont pas été provoquées par un comportement relevant de l’abus de droit, ce qui exclurait toute modification de la convention du 3 juillet 2015 susmentionnée conformément à la jurisprudence rappelée ci-dessus (cf. consid. 4.1.3 supra). A cet égard, il n’est pas contesté que l’appelant a volontairement renoncé à l’emploi qu’il occupait auprès d’A.________ SA et dont il retirait des revenus suffisants pour subvenir à son entretien. Il soutient que cette décision s’imposait en raison de son état de santé.</w:t>
      </w:r>
    </w:p>
    <w:p>
      <w:r>
        <w:t>- 20 - Sur ce point, les certificats produits par l’appelant évoquent certes l’existence de troubles, soit des problèmes de concentration sur le plan professionnel (cf. attestation médicale du Dr Z.________ du 18 janvier 2021), ou encore une symptomatologie anxio-dépressive avec, comme symptômes les plus marqués, une labilité émotionnelle, un trouble du sommeil et des difficultés de concentration (cf. rapport de S.________ du 18 janvier 2021). On doit cependant relever que l’intéressé n’a produit aucun rapport émanant d’un psychiatre et qu’au surplus, seul le Dr Z.________ est médecin, S.________ étant en effet psychologue. Par ailleurs et surtout, on constate que ni le Dr Z.________ ni S.________ n’affirment que les troubles évoqués étaient de nature à empêcher définitivement ni même durablement l’appelant de poursuivre son activité professionnelle. Si S.________ laisse entendre que certains symptômes empêchaient « le bon développement » du travail de l’appelant, elle ne soutient en revanche pas qu’ils le rendaient inapte à son poste. Il ne ressort d’ailleurs pas des rapports produits que ce dernier aurait été en incapacité de travailler au- delà du 10 août 2020. En effet, le Dr Z.________ a uniquement attesté une capacité de travail nulle du 17 mars au 17 mai 2020, puis une capacité de travail d’un taux de 50 % du 18 mai au 10 août 2020, la capacité étant à nouveau totale dès cette date. En outre, aucun élément du dossier ne révèle que l’employeur de l’intéressé aurait été sur le point de licencier l’appelant en raison de performances insuffisantes. En d’autres termes, rien ne permet de considérer que des motifs de santé empêchaient l’appelant de poursuivre son activité professionnelle. On mentionnera par surabondance que même si l’existence de tels motifs avait été avérée, l’appelant n’aurait de toute manière pas pu simplement renoncer à son emploi en comptant sur le soutien de son épouse mais aurait au contraire dû le conserver, afin de pouvoir percevoir des indemnités perte de grain, avant de déposer une demande de prestations auprès de l’assurance-invalidité. A cela s’ajoute encore que, comme le relève l’intimée, les démarches en vue d’une retraite anticipée ont été entreprises en juin</w:t>
      </w:r>
    </w:p>
    <w:p>
      <w:r>
        <w:t>- 21 - 2020, soit à un moment où l’appelant avait partiellement retrouvé sa capacité de travail (il présentait une capacité de travail de 50 % depuis le 18 mai 2020 selon certificat médical du Dr Z.________), et peu avant d’être à nouveau totalement apte au travail (à 100 % dès le 11 août 2020 selon certificat médical du Dr Z.________). On constate en outre que l’intéressé a également contracté une assurance voyage en juillet 2020, soit à une période où son état de santé s’améliorait. Ces deux éléments laissent clairement penser que l’appelant avait décidé de prendre une retraite anticipée indépendamment de l’évolution de son état de santé. Il résulte de ce qui précède que l’appelant a sans aucun doute quitté son emploi par pure convenant personnelle. Il ne saurait dès lors se prévaloir de cette circonstance nouvelle, volontairement créée par un comportement contraire aux obligations découlant du mariage, pour obtenir qu’une contribution d’entretien soit mise à la charge de son épouse. Partant, conformément à la jurisprudence précitée (cf. consid.</w:t>
      </w:r>
    </w:p>
    <w:p>
      <w:r>
        <w:rPr>
          <w:b/>
        </w:rPr>
        <w:t>E. 5</w:t>
      </w:r>
    </w:p>
    <w:p>
      <w:r>
        <w:t>Enfin, comme en première instance, l’appelant demande le paiement par l’intimée d’une provisio ad litem de 15'000 francs.</w:t>
      </w:r>
    </w:p>
    <w:p>
      <w:r>
        <w:rPr>
          <w:b/>
        </w:rPr>
        <w:t>E. 5.1</w:t>
      </w:r>
    </w:p>
    <w:p>
      <w:r>
        <w:t>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5A_808/2016 du 21 mars 2017 consid. 4.1 ; TF 5A_784/2008 du 20 novembre 2009 consid. 2). Une provisio ad litem peut être accordée déjà au stade des mesures protectrices de l’union conjugale ou des</w:t>
      </w:r>
    </w:p>
    <w:p>
      <w:r>
        <w:t>- 22 - mesures provisionnelles (TF 5A_590/2019 du 13 février 2020 consid. 3.3 ; en ce sens déjà : CREC 15 juin 2012/220 ; cf. TF 5A_793/2008 du 8 mai 2009 consid. 6.2). Le fondement de cette prestation – devoir d'assistance (art. 159 al. 3 CC) ou obligation d'entretien (art. 163 CC) – est controversé (TF 5A_62/2011 du 26 juillet 2011 consid. 2.2 ; TF 5P.346/2005 du 15 novembre 2005 consid. 4.3, publié in FamPra.ch 2006 p. 892 n. 130 et les références citées), mais cet aspect n'a pas d'incidence sur les conditions qui président à son octroi (ATF 138 III 672 consid. 4.2.1). Le fait que le débirentier bénéficie d’une fortune considérable n’importe pas. Il s’agit en effet uniquement d’examiner la situation économique du conjoint créancier qui fait valoir qu’il ne dispose pas de moyens financiers suffisants pour assumer les frais du procès en divorce (Juge déléguée CACI 11 février 2021/64 consid. 4.2.3 et réf. cit. ; TF 5A_266/2015 du 24 juin 2015 consid. 8.2).</w:t>
      </w:r>
    </w:p>
    <w:p>
      <w:r>
        <w:rPr>
          <w:b/>
        </w:rPr>
        <w:t>E. 5.2</w:t>
      </w:r>
    </w:p>
    <w:p>
      <w:r>
        <w:t>L’appelant soutient avoir produit tous les documents utiles pour prouver qu’il était incapable de faire face, par ses propres moyens, aux frais du procès en cours. Il allègue que sa fortune est quasi inexistante actuellement. En l’occurrence, il ressort d’un relevé de son compte bancaire produit en première instance (pièce 25) que l’appelant disposait à tout le moins d’une fortune liquide de 33'759 fr. 75 au 31 octobre 2020. S’il allègue que sa fortune est aujourd’hui quasi inexistante, force est de constater qu’il ne produit aucun document ultérieur au 31 octobre 2020 pour le prouver, ce qu’il lui appartenait pourtant de faire (cf. art. 8 CC). Partant, il est retenu, au stade de la vraisemblance, que l’intéressé dispose d’une fortune liquide qui n’est pas inférieur à 33'759 fr. 75. Au vu de la jurisprudence (cf. notamment CACI 6 avril 2020/136 ; CACI 15 avril 2019/206, TF 5D_66/2020 du 14 août 2020 consid. 3.2.1), cette fortune est en l’état suffisante pour faire face à ses frais de procès, de sorte qu’une provisio ad litem ne saurait lui être octroyé. Son grief est donc vain et l’ordonnance litigieuse doit également être confirmée sur ce point.</w:t>
      </w:r>
    </w:p>
    <w:p>
      <w:r>
        <w:t>- 23 -</w:t>
      </w:r>
    </w:p>
    <w:p>
      <w:r>
        <w:rPr>
          <w:b/>
        </w:rPr>
        <w:t>E. 6</w:t>
      </w:r>
    </w:p>
    <w:p>
      <w:r>
        <w:t>En définitive, l’appel doit être rejeté et l’ordonnance entreprise confirmée. Les frais judiciaires de deuxième instance, arrêtés à 1’200 fr. (art. 63, 65 al. 2 et 4 TFJC [tarif des frais judiciaires civils du 28 septembre 2010 ; BLV 270.11.5]), sont mis à la charge de l’appelant, qui succombe (art. 106 al. 1 CPC). Vu le sort de l’appel, l’intimée a droit à de pleins dépens, qui peuvent être arrêtés à 3'000 fr. (art. 3 al. 2 et 7 TDC [tarif des dépens en matière civile du 23 novembre 2010 ; BLV 270.11.6]). Par ces motifs, le juge délégué de la Cour d’appel civile prononce : I. L’appel est rejeté. II. L’ordonnance est confirmée. III. Les frais judiciaires de deuxième instance, arrêtés à 1'200 fr. (mille deux cents francs), sont mis à la charge de l’appelant U.________. IV. L’appelant U.________ versera à l’intimée Y.________ la somme de 3'000 fr. (trois mille francs) à titre de dépens de deuxième instance. V. L’arrêt est exécutoire.</w:t>
      </w:r>
    </w:p>
    <w:p>
      <w:r>
        <w:t>- 24 - Le juge délégué : Le greffier : Du Le présent arrêt, dont la rédaction a été approuvée à huis clos, est notifié en expédition complète à : - Me Pierre-Xavier Luciani (pour U.________), - Me Christine Sattiva Spring (pour Y.________),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