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TD18.034799 vom 17. September 2021</w:t>
      </w:r>
    </w:p>
    <w:p>
      <w:r>
        <w:t>VD Tribunal cantonal, 2021-09-17, FR</w:t>
      </w:r>
    </w:p>
    <w:p>
      <w:r>
        <w:rPr>
          <w:b/>
        </w:rPr>
        <w:t xml:space="preserve">Quelle: </w:t>
      </w:r>
      <w:r>
        <w:t>https://mcp.opencaselaw.ch/entscheid/vd_gerichte_TD18.034799</w:t>
      </w:r>
    </w:p>
    <w:p>
      <w:r>
        <w:t>FR: VD_GERICHTE TD18.034799 du 17 septembre 2021</w:t>
      </w:r>
    </w:p>
    <w:p>
      <w:r>
        <w:t>IT: VD_GERICHTE TD18.034799 del 17 settembre 2021</w:t>
      </w:r>
    </w:p>
    <w:p>
      <w:pPr>
        <w:pStyle w:val="Heading2"/>
      </w:pPr>
      <w:r>
        <w:t>Erwägungen</w:t>
      </w:r>
    </w:p>
    <w:p>
      <w:r>
        <w:rPr>
          <w:b/>
        </w:rPr>
        <w:t>E. 1</w:t>
      </w:r>
    </w:p>
    <w:p>
      <w:r>
        <w:t>Z.________, né le [...], de nationalité [...], et C.________, née [...], de nationalité [...], se sont mariés le [...] à [...]. Aucun enfant n’est issu de cette union.</w:t>
      </w:r>
    </w:p>
    <w:p>
      <w:r>
        <w:rPr>
          <w:b/>
        </w:rPr>
        <w:t>E. 1.1</w:t>
      </w:r>
    </w:p>
    <w:p>
      <w:r>
        <w:t>Selon l’art. 319 let. b ch. 1 CPC, le recours est recevable dans les cas prévus par la loi. 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Lorsque la décision a été rendue en procédure ordinaire ou simplifiée, le délai de recours est de trente jours à compter de la notification de la décision motivée (art. 321 al. 1 CPC).</w:t>
      </w:r>
    </w:p>
    <w:p>
      <w:r>
        <w:rPr>
          <w:b/>
        </w:rPr>
        <w:t>E. 1.2</w:t>
      </w:r>
    </w:p>
    <w:p>
      <w:r>
        <w:t>En l’espèce, le recours du 6 septembre 2021 porte sur la répartition des frais judiciaires et des dépens telle qu’arrêtée par les premiers juges. Il a été interjeté en temps utile. En outre, quand bien même la recourante était au bénéfice de l’assistance judiciaire, celle-ci dispose d’un intérêt digne de protection (art. 59 al. 2 let. a CPC), dès lors que le jugement querellé a mis une partie des frais judiciaires à sa charge et a ordonné le remboursement de ceux-ci dans la mesure de l’art. 123 CPC. Le recours est donc recevable, sous réserve de sa conclusion subsidiaire (cf. consid. 4 infra).</w:t>
      </w:r>
    </w:p>
    <w:p>
      <w:r>
        <w:t>- 6 -</w:t>
      </w:r>
    </w:p>
    <w:p>
      <w:r>
        <w:rPr>
          <w:b/>
        </w:rPr>
        <w:t>E. 1.3</w:t>
      </w:r>
    </w:p>
    <w:p>
      <w:r>
        <w:t>A l’appui de son recours, la recourante a produit, outre le jugement de première instance, deux documents, datés respectivement du 22 septembre 2016 et du 27 septembre 2019. Ces pièces sont irrecevables, dans la mesure où elles n’ont pas été produites devant l’autorité de première instance (art. 326 al. 1 CPC).</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La recourante considère que la répartition des frais judiciaires telle qu’opérée par les premiers juges serait arbitraire, en particulier au regard du sort réservé par ceux-ci aux conclusions des parties. Il ne se justifierait par ailleurs pas d’accorder des dépens à la partie adverse.</w:t>
      </w:r>
    </w:p>
    <w:p>
      <w:r>
        <w:rPr>
          <w:b/>
        </w:rPr>
        <w:t>E. 3.2.1</w:t>
      </w:r>
    </w:p>
    <w:p>
      <w:r>
        <w:t>Aux termes de l’art. 106 CPC, les frais – soit les frais judiciaires et les dépens (art. 95 al. 1 CPC) – sont mis à la charge de la partie</w:t>
      </w:r>
    </w:p>
    <w:p>
      <w:r>
        <w:t>- 7 -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L’art. 106 al. 2 CPC suppose une répartition des frais judiciaires et des dépens en fonction de l’issue du litige comparée avec les conclusions prises par chacune des parties (TF 4A_226/2013 du 7 octobre 2013 consid. 6.2, RSPC 2014 p. 19). Le juge peut en particulier prendre en compte l’importance des conclusions sur lesquelles gagne une partie dans l’ensemble du litige (TF 4A_54/2018 du 11 juillet 2018 consid. 5.1), comme du fait qu’une partie gagne sur une question de principe, sinon sur la quotité (TF 4A_207/2015 du 2 septembre 2015 consid. 3.1, RSPC 2015 p. 484). Cette réglementation octroie au juge un large pouvoir d’ap- préciation, en particulier quant au poids accordé aux diverses conclusions litigieuses (TF 5D_108/2020 du 28 janvier 201 consid. 3.1).</w:t>
      </w:r>
    </w:p>
    <w:p>
      <w:r>
        <w:rPr>
          <w:b/>
        </w:rPr>
        <w:t>E. 3.2.2</w:t>
      </w:r>
    </w:p>
    <w:p>
      <w:r>
        <w:t>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5D_68/2017 du 30 avril 2018 consid. 2.2). Le simple fait que l’on soit en présence d’une procédure du droit de la famille ne justifie pas encore que l’on s’écarte de la réglementation claire de l’art. 106 al. 1 CPC (TF 5A_85/2017 du 19 juin 2017 consid. 9.2, RSPC 2017 p. 410).</w:t>
      </w:r>
    </w:p>
    <w:p>
      <w:r>
        <w:rPr>
          <w:b/>
        </w:rPr>
        <w:t>E. 3.3</w:t>
      </w:r>
    </w:p>
    <w:p>
      <w:r>
        <w:t>Durant la procédure de première instance, l’intimé avait conclu au principe du divorce, à ce qu’aucune contribution d’entretien ne soit allouée aux parties, au partage par moitié des avoirs de prévoyance professionnelle et à ce que le régime matrimonial soit dissous et liquidé, les parties se donnant quittance pour solde de tout compte et de toutes prétentions. De son côté, la recourante avait également conclu au principe</w:t>
      </w:r>
    </w:p>
    <w:p>
      <w:r>
        <w:t>- 8 - du divorce et au partage par moitié des avoirs de prévoyance professionnelle, dès lors qu’elle a sollicité un partage de ces avoirs conformément à la loi. Elle avait en revanche conclu à l’octroi d’une contribution d’entretien de 500 fr. pour elle-même, ainsi qu’à un montant de 5’381 fr. 75 à titre de liquidation du régime matrimonial. En l’occurrence, les premiers juges ont admis le principe du divorce et le partage des avoirs de prévoyance professionnelle par moitié, de sorte que les deux parties se sont vu allouer leurs conclusions sur ce point. Cela étant, les premiers juges ont rejeté les conclusions de la recourante tendant à l’octroi d’une contribution d’entretien et d’une somme d’argent à titre de liquidation du régime matrimonial, admettant par la même occasion les conclusions de l’intimé. Ainsi, l’intéressée a succombé sur ces deux conclusions, alors que l’intimé a obtenu gain de cause à cet égard. Il résulte de ce qui précède que la recourante a succombé sur l’entier des conclusions qui étaient litigieuses. La répartition des frais judiciaires opérée par les premiers juges, à raison des trois quarts à la charge de la recourante et d’un quart à la charge de l’intimé, est conforme aux art. 106 et 107 al. 1 let. c CPC et n’est pas arbitraire, puisqu’elle tient compte du sort réservé aux conclusions prises par les parties dans le cadre de la procédure de première instance. La répartition des frais judiciaire est même plutôt favorable à l’intéressée, si bien que les premiers juges n’ont manifestement pas abusé de leur pouvoir d’appréciation. De plus, contraire-ment à ce que semble indiquer la recourante, la répartition des frais judiciaires telle qu’arrêtée par les premiers juges ne tient pas compte de son défaut à l’audience de conciliation du 5 février 2019. Enfin, pour les mêmes motifs, il n’y a pas lieu de revoir la question des dépens de première instance, dont la répartition a été opérée selon la même clé que celle des frais judiciaires.</w:t>
      </w:r>
    </w:p>
    <w:p>
      <w:r>
        <w:t>- 9 -</w:t>
      </w:r>
    </w:p>
    <w:p>
      <w:r>
        <w:rPr>
          <w:b/>
        </w:rPr>
        <w:t>E. 4</w:t>
      </w:r>
    </w:p>
    <w:p>
      <w:r>
        <w:t>Subsidiairement, la recourante, qui relève qu’elle est dans une situation précaire, a sollicité l’application de l’art. 112 CPC. Il revient cependant au juge qui a statué sur l’assistance judiciaire d’examiner une requête fondée sur cette disposition légale (CREC 17 décembre 2019/348 consid. 3 et les arrêts cités). Aussi, la conclusion de la recourante est une conclusion nouvelle irrecevable en procédure de recours, puisque celle-ci n’a pas pris une telle conclusion devant les premiers juges (cf. art. 326 al. 1 CPC). Pour le surplus, on relève à toutes fins utiles qu’il incombe à la Direction du recouvrement de la Direction générale des affaires institutionnelles et des communes de fixer le principe et les modalités du remboursement de l’assistance judiciaire (art. 39a CDPJ [Code de droit privé judiciaire vaudois du 12 janvier 2010 ; BLV 121.02] ; cf. CACI 13 septembre 2021/442 consid. 8.3).</w:t>
      </w:r>
    </w:p>
    <w:p>
      <w:r>
        <w:rPr>
          <w:b/>
        </w:rPr>
        <w:t>E. 5</w:t>
      </w:r>
    </w:p>
    <w:p>
      <w:r>
        <w:t>En conclusion, le recours, manifestement infondé, doit être rejeté dans la mesure où il est recevable (art. 322 al. 1 in fine CPC) et le jugement entrepris confirmé. L’arrêt sera rendu sans frais judiciaires de deuxième instance (cf. art. 10 et 11 TFJC [tarif des frais judiciaires civils du 28 septembre 2010 ; BLV 270.11.5]). Par ces motifs, la Chambre des recours civile du Tribunal cantonal, prononce : I. Le recours est rejeté dans la mesure où il est recevable. II. Le jugement est confirmé.</w:t>
      </w:r>
    </w:p>
    <w:p>
      <w:r>
        <w:t>- 10 - III. L’arrêt, rendu sans frais judiciaires de deuxième instance, est exécutoire. Le président : Le greffier : Du L’arrêt qui précède, dont la rédaction a été approuvée à huis clos, est notifié à : - Mme C.________, - Me Gilles Miauton, avocat (pour Z.________).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