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TD18.026162 vom 22. Februar 2023</w:t>
      </w:r>
    </w:p>
    <w:p>
      <w:r>
        <w:t>VD Tribunal cantonal, 2023-02-22, FR</w:t>
      </w:r>
    </w:p>
    <w:p>
      <w:r>
        <w:rPr>
          <w:b/>
        </w:rPr>
        <w:t xml:space="preserve">Quelle: </w:t>
      </w:r>
      <w:r>
        <w:t>https://mcp.opencaselaw.ch/entscheid/vd_gerichte_TD18.026162</w:t>
      </w:r>
    </w:p>
    <w:p>
      <w:r>
        <w:t>FR: VD_GERICHTE TD18.026162 du 22 février 2023</w:t>
      </w:r>
    </w:p>
    <w:p>
      <w:r>
        <w:t>IT: VD_GERICHTE TD18.026162 del 22 febbraio 2023</w:t>
      </w:r>
    </w:p>
    <w:p>
      <w:pPr>
        <w:pStyle w:val="Heading2"/>
      </w:pPr>
      <w:r>
        <w:t>Erwägungen</w:t>
      </w:r>
    </w:p>
    <w:p>
      <w:r>
        <w:rPr>
          <w:b/>
        </w:rPr>
        <w:t>E. 4.1</w:t>
      </w:r>
    </w:p>
    <w:p>
      <w:r>
        <w:t>Au vu de ce qui précède, le recours, manifestement mal fondé (art. 322 al. 1 in fine CPC), doit être rejeté dans la mesure de sa recevabilité et le prononcé entrepris confirmé.</w:t>
      </w:r>
    </w:p>
    <w:p>
      <w:r>
        <w:t>- 8 -</w:t>
      </w:r>
    </w:p>
    <w:p>
      <w:r>
        <w:rPr>
          <w:b/>
        </w:rPr>
        <w:t>E. 4.2</w:t>
      </w:r>
    </w:p>
    <w:p>
      <w:r>
        <w:t>Les frais judiciaires de deuxième instance, arrêtés à 200 fr. (art. 69 al. 1 TFJC [tarif des frais judiciaires civils du 28 septembre 2010 ; BLV 270.11.5]), seront mis à la charge de la recourante, qui succombe (art. 106 al. 1 CPC). Par ces motifs, la Chambre des recours civile du Tribunal cantonal, prononce : I. Le recours est rejeté, dans la mesure de sa recevabilité. II. Le prononcé est confirmé. III. Les frais judiciaires de deuxième instance, arrêtés à 200 fr. (deux cents francs), sont mis à la charge de la recourante G.________. IV. L’arrêt est exécutoire. La présidente : La greffière : Du L'arrêt qui précède, dont la rédaction a été approuvée à huis clos, est notifié à : - Me G.________, - M. L.________, personnellement. La Chambre des recours civile considère que la valeur litigieuse est inférieure à 30’000 francs.</w:t>
      </w:r>
    </w:p>
    <w:p>
      <w:r>
        <w:t>- 9 -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