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TD18.018359 vom 7. Juli 2020</w:t>
      </w:r>
    </w:p>
    <w:p>
      <w:r>
        <w:t>VD Tribunal cantonal, 2020-07-07, FR</w:t>
      </w:r>
    </w:p>
    <w:p>
      <w:r>
        <w:rPr>
          <w:b/>
        </w:rPr>
        <w:t xml:space="preserve">Quelle: </w:t>
      </w:r>
      <w:r>
        <w:t>https://mcp.opencaselaw.ch/entscheid/vd_gerichte_TD18.018359</w:t>
      </w:r>
    </w:p>
    <w:p>
      <w:r>
        <w:t>FR: VD_GERICHTE TD18.018359 du 7 juillet 2020</w:t>
      </w:r>
    </w:p>
    <w:p>
      <w:r>
        <w:t>IT: VD_GERICHTE TD18.018359 del 7 luglio 2020</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Commentaire romand, Code de procédure civile, Bâle 2019, 2e éd. (ci-après : CR CPC), n. 4 ad art. 318 CPC). Le tribunal auquel la cause est renvoyée voit sa cognition limitée par les motifs de l’arrêt de renvoi, en ce sens qu’il est lié par ce qui a déjà été jugé définitivement par le Tribunal fédéral (ATF 133 III 201 consid. 4.2 ; TF 4A_555/2015 du 18 mars 2016 consid. 2.2)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w:t>
      </w:r>
    </w:p>
    <w:p>
      <w:r>
        <w:t>- 7 - 1.3.2 ad art. 66 aOJ, p. 598 ; TF 5A_336/2008 du 28 août 2008 consid. 1.3 et les réf. citées).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(TF 5A_336/2008 du 28 août 2008 consid. 1.3).</w:t>
      </w:r>
    </w:p>
    <w:p>
      <w:r>
        <w:rPr>
          <w:b/>
        </w:rPr>
        <w:t>E. 1.2</w:t>
      </w:r>
    </w:p>
    <w:p>
      <w:r>
        <w:t>En l’espèce, le Tribunal fédéral a définitivement tranché le fond du litige et a renvoyé la cause au Juge délégué de la Cour de céans pour nouvelle décision sur les frais et dépens de la procédure cantonale.</w:t>
      </w:r>
    </w:p>
    <w:p>
      <w:r>
        <w:rPr>
          <w:b/>
        </w:rPr>
        <w:t>E. 2.1</w:t>
      </w:r>
    </w:p>
    <w:p>
      <w:r>
        <w:t>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w:t>
      </w:r>
    </w:p>
    <w:p>
      <w:r>
        <w:rPr>
          <w:b/>
        </w:rPr>
        <w:t>E. 2.2</w:t>
      </w:r>
    </w:p>
    <w:p>
      <w:r>
        <w:t>En l’espèce, dans son arrêt réformant l’arrêt du Juge délégué de la Cour de céans, le Tribunal fédéral a fixé les pensions mensuelles dues pour l’entretien des enfants à un total de 2'185 fr. dès le 1er juillet 2018, alors que P.________ avait conclu en appel que ces pensions, fixées en première instance à 2'750 fr. au total, soient réduites à 1'750 fr. au total. L’intéressé obtient ainsi approximativement la moitié des conclusions pécuniaires prises devant l’autorité de céans. Il continue toutefois de succomber s’agissant de l’instauration d’une garde alternée. Pour ces motifs, il convient de mettre trois quarts des frais judiciaires afférents à l’appel de P.________ à la charge de P.________ et un</w:t>
      </w:r>
    </w:p>
    <w:p>
      <w:r>
        <w:t>- 8 - quart à la charge de Z.________. Les frais judiciaires afférents à cet appel ayant été arrêtés à 2'000 fr., un montant de 1'500 fr. sera mis à la charge de l’appelant P.________ et de 500 fr. à la charge de l’intimée Z.________, celle-ci devant verser ce montant à P.________ à titre de restitution partielle de l’avance de frais. L’attribution des frais afférents à l’appel de Z.________ et la compensation des dépens demeure inchangée, les parties prenant d’ailleurs des conclusions en ce sens.</w:t>
      </w:r>
    </w:p>
    <w:p>
      <w:r>
        <w:rPr>
          <w:b/>
        </w:rPr>
        <w:t>E. 3.1</w:t>
      </w:r>
    </w:p>
    <w:p>
      <w:r>
        <w:t>En définitive, au vu de la réforme prononcée par la IIe Cour de droit civil du Tribunal fédéral, la teneur chiffres II et III de l’ordonnance de mesures provisionnelles rendue le 29 novembre 2018 par la Présidente du Tribunal civil de l’arrondissement de La Côte se présente comme il suit : « II. DIT que P.________ contribuera à l’entretien de l’enfant [...], né le [...] 2006, par le régulier versement, d’avance le premier de chaque mois, en mains de Z.________, d’une contribution mensuelle de 1'220 fr. (mille deux cent vingt francs) par mois du 1er septembre 2017 au 30 juin 2018, puis de 1'100 fr. (mille cent francs) dès le 1er juillet 2018, éventuelles allocations familiales non comprises et dues en sus. III. DIT que P.________ contribuera à l’entretien de l’enfant [...], né le [...] 2009, par le régulier versement, d’avance le premier de chaque mois, en mains de Z.________, d’une contribution mensuelle de 1'095 fr. (mille nonante-cinq francs) du 1er septembre 2017 au 30 juin 2018, puis de 1'085 fr. (mille huitante-cinq francs) dès le 1er juillet 2018, allocations familiales non comprises. » Les frais judiciaires de deuxième instance seront répartis comme détaillé sous consid. 2.2 ci-dessus.</w:t>
      </w:r>
    </w:p>
    <w:p>
      <w:r>
        <w:t>- 9 -</w:t>
      </w:r>
    </w:p>
    <w:p>
      <w:r>
        <w:rPr>
          <w:b/>
        </w:rPr>
        <w:t>E. 3.2</w:t>
      </w:r>
    </w:p>
    <w:p>
      <w:r>
        <w:t>Selon l’art. 5 al. 1 TFJC, pour le jugement d’une cause renvoyée ensuite d’un arrêt du Tribunal fédéral, il n’est pas perçu de nouvel émolument forfaitaire de décision. Par ces motifs, le Juge délégué de la Cour d’appel civile prononce : I. Les frais judiciaires de deuxième instance afférents à l’appel de P.________, arrêtés à 2'000 fr. (deux mille francs), sont mis par 1'500 fr. (mille cinq cents francs) à la charge de l’appelant P.________ et par 500 fr. (cinq cents francs) à la charge de l’intimée Z.________. . II. Les frais judiciaires de deuxième instance afférents à l’appel de Z.________, arrêtés à 2'000 fr. (deux mille francs), sont mis à la charge de l’appelante Z.________. III. L’intimée Z.________ doit verser à l’appelant P.________ la somme de 500 fr. (cinq cents francs) à titre de restitution partielle de l’avance de frais de deuxième instance. IV. Les dépens sont compensés. V. L’arrêt est exécutoire. Le Juge délégué : La greffière :</w:t>
      </w:r>
    </w:p>
    <w:p>
      <w:r>
        <w:t>- 10 - Du Le présent arrêt, dont la rédaction a été approuvée à huis clos, est notifié en expédition complète à : - Me Mireille Loroch (pour Z.________), - Me Axelle Prior (pour P.________), et communiqué, par l'envoi de photocopies, à : - Mme la Présidente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