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TD18.013694 vom 19. Januar 2024</w:t>
      </w:r>
    </w:p>
    <w:p>
      <w:r>
        <w:t>VD Tribunal cantonal, 2024-01-19, FR</w:t>
      </w:r>
    </w:p>
    <w:p>
      <w:r>
        <w:rPr>
          <w:b/>
        </w:rPr>
        <w:t xml:space="preserve">Quelle: </w:t>
      </w:r>
      <w:r>
        <w:t>https://mcp.opencaselaw.ch/entscheid/vd_gerichte_TD18.013694</w:t>
      </w:r>
    </w:p>
    <w:p>
      <w:r>
        <w:t>FR: VD_GERICHTE TD18.013694 du 19 janvier 2024</w:t>
      </w:r>
    </w:p>
    <w:p>
      <w:r>
        <w:t>IT: VD_GERICHTE TD18.013694 del 19 gennaio 2024</w:t>
      </w:r>
    </w:p>
    <w:p>
      <w:pPr>
        <w:pStyle w:val="Heading2"/>
      </w:pPr>
      <w:r>
        <w:t>Erwägungen</w:t>
      </w:r>
    </w:p>
    <w:p>
      <w:r>
        <w:rPr>
          <w:b/>
        </w:rPr>
        <w:t>E. 8</w:t>
      </w:r>
    </w:p>
    <w:p>
      <w:r>
        <w:t>L’appelant a versé un montant de 44'000 fr. à l’appelante à titre de contributions d’entretien pour la période allant du 1er janvier au 31 août 2023. En d roit :</w:t>
      </w:r>
    </w:p>
    <w:p>
      <w:r>
        <w:t>- 10 - 1. 1.1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Les deux appels ont trait à un complexe de faits identique, de sorte que, par souci de simplification et de cohérence, les deux causes ont été jointes (art. 125 let. c CPC). 1.3 Formés en temps utile, par des parties qui ont un intérêt digne de protection (art. 59 al. 2 let. a CPC), contre une ordonnance de mesures provisionnelles et portant sur des conclusions qui, capitalisées selon l'art. 92 al. 2 CPC, sont supérieures à 10'000 fr., les appels sont recevables. Déposées en temps utile et dans les formes prescrites, les réponses sont également recevables.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w:t>
      </w:r>
    </w:p>
    <w:p>
      <w:r>
        <w:t>- 11 -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 2.2 2.2.1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 ATF 138 III 625 consid. 2.2 ; TF 5A_451/2020 du 31 mars 2021 consid. 3.1.1 ; TF 5A_67/2020 du 10 août 2020). 2.2.2 En l’espèce, la question de la recevabilité des nouvelles pièces produites en deuxième instance par les parties peut demeurer ouverte, dès lors que lesdites pièces n’ont quoi qu’il en soit aucune incidence sur l’issue des appels.</w:t>
      </w:r>
    </w:p>
    <w:p>
      <w:r>
        <w:t>- 12 - 3. L’appelante se plaint d’une violation de l’art. 179 CC. Elle fait grief au premier juge d’avoir considéré que l’appelant avait rendu vraisemblable une modification des circonstances justifiant de réduire la contribution d’entretien versée par son époux de 12'000 fr. à 5'500 fr. par mois. L’appelant soutient que la contribution d’entretien en faveur de l’appelante aurait dû être supprimée, subsidiairement réduite à un montant inférieur à celui retenu par le premier juge. Il fait en outre grief au président d’avoir fixé le dies a quo de la modification à une date postérieure à sa requête, ainsi qu’à l’ordonnance entreprise. 3.1 3.1.1 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(ATF 143 III 617 consid. 3.1 ; ATF 137 III 614 consid. 3.2.2 ; TF 5A_37/2023 du 3 octobre 2023 consid. 3.1 ; TF 5A_522/2022 du 3 mai 2023 consid. 3.2). Ainsi, les mesures protectrices ne peuvent être modifiées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 TF 5A_37/2023 précité consid. 3.1 ; TF 5A_424/2022 du 23 janvier 2023 consid. 2.1.1). En revanche, les parties ne peuvent pas invoquer, pour fonder leur requête en modification, une mauvaise appréciation des circonstances initiales, que le motif relève du droit ou de l’établissement</w:t>
      </w:r>
    </w:p>
    <w:p>
      <w:r>
        <w:t>- 13 - des faits allégués sur la base des preuves déjà offertes ; pour faire valoir de tels motifs, seules les voies de recours sont ouvertes, car la procédure de modification n’a en effet pas pour but de corriger le premier jugement, mais de l’adapter aux circonstances nouvelles (ATF 141 III 376 consid 3.3.1 ; ATF 137 III 604 consid. 4.1.1 ; TF 5A_895/2022 du 17 juillet 2023 consid. 10.2.1). Le fait revêt un caractère nouveau lorsqu’il n’a pas été pris en considération pour fixer la contribution d’entretien dans le jugement précédent. Ce qui est déterminant, ce n’est pas la prévisibilité des circonstances nouvelles, mais exclusivement le fait que la contribution d’entretien ait été fixée sans tenir compte de ces circonstances futures (ATF 141 III 376 consid. 3.3.1 ; ATF 138 III 289 consid. 11.1.1 ; TF 5A_570/2021 du 29 juin 2022 consid. 3.1). La procédure de modification ne peut se fonder que sur des vrais nova, à savoir des faits nouveaux survenus ou des moyens de preuve disponibles uniquement après la date à laquelle de nouveaux moyens d'attaque et de défense ont pu être invoqués pour la dernière fois dans la procédure antérieure, qui s'est achevée par un jugement entré en force. Sont également considérés comme de vrais nova les faits qui existaient déjà lors de la procédure antérieure et qui étaient connus de la partie qui les invoque désormais, mais que celle-ci n'avait pas pu faire valoir faute de pouvoir en apporter la preuve (ATF 143 III 42 consid. 5.2 ; TF 5A_570/2021 précité consid. 3.1). 3.1.2 Les possibilités de modifier les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w:t>
      </w:r>
    </w:p>
    <w:p>
      <w:r>
        <w:t>- 14 - du spectre des développements futurs, qui apparaissaient possibles – même s’ils étaient incertains – pour les parties à la convention (ATF 142 III 518 consid. 2.6.1). 3.1.3 Le moment déterminant pour apprécier si des circonstances nouvelles se sont produites est la date du dépôt de la demande de modification (ATF 137 III 604 consid. 4.1.1 et réf. cit. ; TF 5A_1035/2021 du 2 août 2022). 3.1.4 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 il s'agit ainsi d'un régime d'exception (ATF 111 II 103 consid. 4 ; TF 5A_978/2022 du 1er juin 2023 consid. 3.2 et réf. cit.). Le Tribunal fédéral a notamment considéré que des juges cantonaux n’avaient pas abusé de leur pouvoir d’appréciation ni violé le droit en retenant une date ultérieure à celle de l'introduction de la demande pour</w:t>
      </w:r>
    </w:p>
    <w:p>
      <w:r>
        <w:t>- 15 - déterminer le dies a quo d'une modification de jugement de divorce dans une affaire où les contributions d'entretien avaient été utilisées pour couvrir les besoins de l'ex-épouse et de sa fille, en situation déficitaire, alors qu'un premier juge avait déjà donné raison à l’ex-épouse (TF 5A_549/2020 du 19 mai 2021 consid. 3.4). 3.2 Pour déterminer les effets du concubinage sur le droit à une contribution d’entretien entre ex-époux ou dans le cadre de mesures protectrices de l’union conjugale, le Tribunal fédéral distingue trois catégories de vie commune, selon un degré d’intensité croissant (Marie- Laure Papaux van Delden, Le concubinage en droit suisse : état des lieux et réflexions prospectives, Fampra.ch 4/2020, pp. 851-874, pp. 860 et 861). La première catégorie est la (simple) « communauté de toit et de table ». Dans cette hypothèse, il n’y a aucun soutien financier entre les concubins ou de telles prestations ne peuvent être prouvées. La vie commune entraîne toutefois des économies par rapport au coût de la vie. Ce qui est déterminant, ce n'est pas la durée du concubinage, mais l'avantage économique qui en découle. Sur le modèle des lignes directrices du droit des poursuites, les partenaires sont supposés supporter proportionnellement les coûts communs, même si la participation effective devait être inférieure (ATF 138 III 97 consid. 2.3.2, JdT 2012 II 479). La deuxième catégorie de vie commune vise le concubinage simple, dans lequel l'époux créancier d’une contribution d’entretien est soutenu financièrement par son nouveau partenaire. La créance d’entretien envers l’autre époux se réduit dans la mesure des prestations effectivement reçues.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JdT 2012 II 479).</w:t>
      </w:r>
    </w:p>
    <w:p>
      <w:r>
        <w:t>- 16 - Finalement, il est possible – même dans le cadre de mesures protectrices de l’union conjugale – que le conjoint créancier d’aliments vive dans un concubinage dit qualifié ou stable. La jurisprudence entend par là une communauté de vie d'une certaine durée, voire durable, entre deux personnes, à caractère en principe exclusif, qui présente une composante tant spirituelle que corporelle et économique, et qui est parfois désignée comme une « communauté de toit, de table et de lit ». Le tribunal doit à ce sujet procéder à une appréciation de tous les facteurs déterminants, étant précisé que la qualité d'une communauté de vie s'évalue au regard de l'ensemble des circonstances de la vie commune. Le droit à une contribution d’entretien est supprimé lorsque l’époux vit dans une relation solide, qui lui offre des avantages similaires à ceux du mariage. Ce qui est déterminant, ce n'est pas (plus) le critère de l'abus de droit, mais le fait que l'ex-conjoint forme avec son nouveau partenaire une communauté de vie si étroite que ce dernier semble disposé à lui apporter la fidélité et l'assistance que l'art. 159 al. 3 CC exige des personnes mariées. L'existence ou non d'un concubinage qualifié ne dépend pas des moyens financiers des concubins, mais de leurs sentiments mutuels et de l'existence d'une communauté de destins (ATF 138 III 97 consid. 2.3.3, JdT 2012 II 479 ; TF 5A_109/2021 du 8 février 2022 consid. 3.3.1). La contribution d'entretien peut ainsi être modifiée indépendamment de toute amélioration de la situation financière du créancier (TF 5A_902/2020 du 25 janvier 2021 consid. 5.1.2 ; TF 5A_964/2018 du 26 juin 2019 consid. 3.2.2). Une communauté de vie ne suppose, de nos jours, pas nécessairement une communauté d’habitation (TF 5A_72/2022 du 18 juillet 2023 consid. 4.2). Il incombe au débiteur d'entretien de prouver que le créancier vit dans un concubinage qualifié avec un nouveau partenaire. Le Tribunal fédéral a toutefois posé la présomption – réfragable – qu'un concubinage est qualifié lorsqu'il dure depuis cinq ans (ATF 138 III 97 consid. 3.4.2 ; ATF 118 II 235 consid. 3a ; TF 5A_109/2021 précité consid. 3.3.1). La présomption libère le débirentier de l'obligation de prouver que les concubins se sont engagés à s'assister entre eux, mais ne le libère pas de</w:t>
      </w:r>
    </w:p>
    <w:p>
      <w:r>
        <w:t>- 17 - l'obligation de prouver la nature qualifiée du concubinage (TF 5A_935/2020 du 8 juin 2021 consid. 6.2). 3.3 Le premier juge a considéré qu’il se justifiait de réexaminer la question du concubinage de l’appelante en raison de l’écoulement du temps depuis l’arrêt sur appel du 31 août 2020, et des nouvelles preuves administrées. Il a ensuite relevé que lors du dépôt de la requête du 25 août 2021, l’appelante menait une vie étroitement liée à celle de son compagnon, qu’ils faisaient et réalisaient des projets en commun et se rendaient des services mutuels (courses alimentaires), même d’ordre strictement privé (levée du courrier), et que le couple formait par conséquent une communauté de destins, ce qui permettait d’entrer en matière sur la requête en modification de la contribution d’entretien avant divorce. Le président n’a toutefois pas ordonné une suppression de la pension, soulevant que l'on devait nier en l'espèce l'existence d'une communauté économique entre les intéressés, aucun élément ne permettant de retenir que G.________ partageait les charges de l’appelante ou l’aiderait d’une autre manière sur le plan financier. Il a toutefois tenu compte du concubinage de l’appelante pour réévaluer sa situation en retenant dans ses charges le minimum vital de droit des poursuites d’une personne en couple (850 fr. au lieu de 1'200 fr. pour une personne seule). En l’occurrence, il y a lieu de suivre le raisonnement du premier juge selon lequel la question du concubinage pouvait être réexaminée compte tenu de l’écoulement du temps et des nouvelles preuves depuis la précédente requête en modification de la contribution d’entretien, soit en particulier le rapport Seeclop. S'agissant du point de savoir si le concubinage constitue un fait nouveau et durable, il est d’abord relevé que la convention signée par les parties en 2016 ne mentionne pas cet élément. Il ne ressort en outre pas des faits établis que la pension de 12'000 fr. a été fixée en tenant compte d’un éventuel concubinage stable. Si l’appelante était à ce moment déjà en couple avec G.________, l'évolution de cette relation était imprévisible et aucun élément ne permet de considérer qu’elle revêtait déjà l’intensité actuelle. En outre, l’écoulement de douze mois supplémentaires depuis que la juge déléguée</w:t>
      </w:r>
    </w:p>
    <w:p>
      <w:r>
        <w:t>- 18 - avait gardé à juger les appels interjetés dans la précédente procédure de modification n’étaient pas sans importance pour juger du caractère de concubinage qualifié de la relation de l’appelante et de son ami. Dans ces circonstances, c’est à juste titre que le président a considéré que le concubinage de l’appelante était un fait nouveau permettant d’entrer en matière sur la requête en modification déposée par l’appelant. Concernant les effets du concubinage sur la contribution d’entretien, il y a lieu d’examiner son intensité et, plus particulièrement, de déterminer si, comme le soutient l’appelant, on est en présence d’un concubinage qualifié. A cet égard, il apparaît que l’appelante et son compagnon, en couple depuis 2013, forment une communauté de vie solide et durable, à caractère exclusif, qui présente une composante tant spirituelle que corporelle. Conformément à la jurisprudence susmentionnée, le fait qu’il n’ait pas été démontré que G.________ apporte un soutien financier effectif à l’appelante ne suffit pas à exclure l’existence d’un concubinage qualifié. C’est le lieu de relever que selon toute vraisemblance, un tel soutien n’était dans le cas qui nous occupe pas nécessaire compte tenu de la contribution d’entretien confortable versée par l’appelant à l’appelante. Ce qui est déterminant, c’est que les deux partenaires soient prêts à se prêter assistance et soutien, comme un couple marié. En l’occurrence, force est de constater que l’appelant a apporté les éléments permettant de rendre vraisemblable que les intéressés sont dans une relation relevant une telle intensité et qu’il existe une communauté de destins, étant précisé que l’appelant bénéficie de la présomption d’un concubinage stable compte tenu de la durée de la relation et que l’appelante n’a pour sa part pas renversé cette présomption. Il a en particulier été établi que l’appelante partage des moments avec les amis et la famille de son compagnon, et inversement. Lorsque l’un séjourne chez l’autre, il participe aux tâches quotidiennes et rend service à son partenaire, par exemple en allant faire des courses, en s’occupant de l’entretien du logement ou en véhiculant ses enfants. S’agissant de la levée du courrier de l’appelante, même si celle-ci nie avoir remis la clé de sa boîte aux lettres à son compagnon, elle n’a pas remis en cause le fait que ce dernier soit allé chercher son courrier et ne prétend</w:t>
      </w:r>
    </w:p>
    <w:p>
      <w:r>
        <w:t>- 19 - pas qu’il aurait agi sans son autorisation, de sorte qu’il apparaît qu’elle n’a rien à lui cacher. L’appelante s’est pour sa part contentée de faire valoir que son compagnon était domicilié dans un autre pays et ne lui apportait aucun soutien financier, sans exposer en quoi la relation ne serait pas suffisamment étroite et stable pour qu'elle puisse s'attendre à une assistance et à un soutien semblables à ceux d'un mariage. Au vu de tous ces éléments, il y a lieu d’admettre que le couple forme une union assimilable au mariage et de tenir compte de cette circonstance nouvelle. Aujourd’hui, il apparaît que l’appelante a refait sa vie et il ne se justifie plus de faire supporter son entretien à l’appelant. Partant, la contribution d’entretien avant divorce doit être supprimée et il n’est pas nécessaire d’examiner les autres faits nouveaux invoqués par l’appelant et la situation financière respective des parties. Il sied enfin de souligner que le régime à modifier est celui du chiffre I de la convention du 15 décembre 2016 ratifiée sur le siège par le Juge délégué de la Cour d’appel civile du Tribunal cantonal et non l’ordonnance du 8 avril 2020, comme l’a retenu le premier juge. 3.4 S’agissant du dies a quo de la modification, le motif pour lequel la suppression de la contribution d'entretien est ordonnée – soit le concubinage qualifié de l’appelante – était déjà réalisé lorsque l’appelant a déposé sa requête du 25 août 2021. Toutefois, au vu des circonstances d’espèce, il n’apparaît pas équitable d’exiger de l’appelante la restitution des contributions d’entretien déjà versées depuis le 25 août 2021, lesquelles ont selon toute vraisemblance été utilisées pour couvrir les besoins de l’appelante. Si l’on a admis que les concubins étaient prêts à se soutenir financièrement en cas de besoin, une participation effective de G.________ aux charges de l’appelante n’a pas été établie. Il faut dès lors tenir compte du fait que la suppression de la pension entraînera certainement une réorganisation du partage des ressources au sein du couple. Il convient par conséquent d’arrêter le dies a quo de la suppression de la pension au premier jour du mois suivant la date du</w:t>
      </w:r>
    </w:p>
    <w:p>
      <w:r>
        <w:t>- 20 - présent arrêt, soit au 1er mars 2024. L’appelante ne saurait toutefois bénéficier – du fait de la retenue d’un dies a quo ultérieur à la date du dépôt de la requête – d’une pension de 12'000 fr. pour la période durant laquelle une réduction avait été ordonnée par le premier juge. Partant, il y a lieu de confirmer la réduction à 5'500 fr. par mois pour la période du 1er janvier 2023 au 29 février 2024. 4. 4.1 En définitive, il y a lieu d’admettre partiellement l’appel déposé par l’appelant, de rejeter l’appel déposé par l’appelante et de réformer l’ordonnance attaquée en ce sens que la contribution d’entretien en faveur de l’appelante est réduite à 5'500 fr. par mois du 1er janvier 2023 au 29 février 2024 et supprimée depuis le 1er mars 2024. 4.2 Si l’instance d’appel statue à nouveau, elle se prononce sur les frais – soit les frais judiciaires et les dépens (art. 95 al. 1 CPC) – de la première instance (art. 318 al. 3 CPC). Compte tenu des considérations qui précèdent, le premier juge aurait dû admettre la requête déposée par l’appelant le 25 août 2021. Les frais judiciaires de première instance, d’ores et déjà arrêtés à 1'450 fr., doivent ainsi être mis à la charge de l’appelante (art. 106 al. 1 CPC). Les dépens de première instance à allouer en faveur de l’appelant sont arrêtés à 7'000 fr. (art. 6 al. 1 TDC [tarif des dépens en matière civile du 23 novembre 2010 ; BLV 270.11.6]). 4.3 Les frais judiciaires de deuxième instance sont arrêtés à 5’200 fr., soit 2'500 fr. pour l’appel déposé par l’appelant (art. 65 al. 4 TFJC [tarif des frais judiciaires civils du 28 septembre 2010 ; BLV 270.11.5), 2'500 fr. pour l’appel déposé par l’appelante (art. 65 al. 4 TFJC), et 200 fr. (art. 60 TFJC par analogie) pour la requête d’effet suspensif de l’appelante. Vu l’issue du litige, il y a lieu de mettre à la charge de l’appelant 1/10ème des frais relatifs à son appel, car il succombe</w:t>
      </w:r>
    </w:p>
    <w:p>
      <w:r>
        <w:t>- 21 - uniquement sur la question du dies a quo de la modification. L’appelante supportera quant à elle 9/10èmes des frais relatifs à l’acte déposé par l’appelant et l’intégralité des frais relatifs à son propre appel. En définitive, les frais judiciaires de deuxième instance sont mis à la charge de l’appelant, par 250 fr., et à la charge de l’appelante, par 4'950 francs. L’appelante devra verser à l’appelant une somme de 2'250 fr., à titre de remboursement de l’avance de frais fournie par celui-ci (art. 111 al. 2 CPC). La charge des dépens afférents aux appels peut être estimée à 5’500 fr. pour chacune des parties. Dès lors, l’appelante versera en outre à l’appelant une somme de 4'400 fr. à titre de dépens compensés de deuxième instance ([90 % x 5'500 fr.] – [10 % x 5'500 fr.]). Par ces motifs, le Juge unique de la Cour d’appel civile prononce : I. Les causes portant sur les appels déposés le 25 juillet 2022 par l’appelante A.P.________ (TD18.013694-220913) et par l’appelant B.P.________ (TD18.013694-220914) sont jointes. II. L’appel déposé par l’appelante A.P.________ est rejeté. III. L’appel déposé par l’appelant B.P.________ est partiellement admis. IV. L’ordonnance de mesures provisionnelles du 14 juillet 2022 est réformée et il est statué à nouveau comme il suit : I. MODIFIE le chiffre I de l’arrêt sur appel de mesures protectrices de l’union conjugale du 15 décembre 2016</w:t>
      </w:r>
    </w:p>
    <w:p>
      <w:r>
        <w:t>- 22 - en ce sens que la contribution d’entretien due à A.P.________ est réduite à 5'500 fr. du 1er janvier 2023 au 29 février 2024 et supprimée dès le 1er mars 2024. II. DIT que les frais judiciaires de la présente procédure provisionnelle sont arrêtés à 1'450 fr. (mille quatre cent cinquante francs) et mis à la charge de A.P.________. III. DIT que A.P.________ doit verser à B.P.________ la somme de 7'000 fr. (sept mille francs) à titre de dépens de la présente procédure provisionnelle. IV. REJETTE toute autres ou plus amples conclusions provisionnelles. V. Les frais judiciaires de deuxième instance, arrêtés à 5'200 fr. (cinq mille deux cents francs), sont mis à la charge de l’appelante A.P.________, par 4'950 fr. (quatre mille neuf cent cinquante francs), et à la charge de l’appelant B.P.________, par 250 fr. (deux cent cinquante francs). VI. L’appelante A.P.________ doit verser à l’appelant B.P.________ la somme de 2'250 fr. (deux mille deux cent cinquante francs) à titre de restitution d’avance de frais judiciaires de deuxième instance. VII. L’appelante A.P.________ doit verser à l’appelant B.P.________ la somme de 4'400 fr. (quatre mille quatre cents francs) à titre de dépens compensés de deuxième instance. VIII. L’arrêt est exécutoire.</w:t>
      </w:r>
    </w:p>
    <w:p>
      <w:r>
        <w:t>- 23 - Le juge unique : La greffière : Du Le présent arrêt, dont la rédaction a été approuvée à huis clos, est notifié en expédition complète à : - Me Stefan Disch (pour A.P.________) ; - Me Olivier Nicod (pour B.P.________),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