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TD17.052354 vom 6. Juni 2023</w:t>
      </w:r>
    </w:p>
    <w:p>
      <w:r>
        <w:t>VD Tribunal cantonal, 2023-06-06, FR</w:t>
      </w:r>
    </w:p>
    <w:p>
      <w:r>
        <w:rPr>
          <w:b/>
        </w:rPr>
        <w:t xml:space="preserve">Quelle: </w:t>
      </w:r>
      <w:r>
        <w:t>https://mcp.opencaselaw.ch/entscheid/vd_gerichte_TD17.052354</w:t>
      </w:r>
    </w:p>
    <w:p>
      <w:r>
        <w:t>FR: VD_GERICHTE TD17.052354 du 6 juin 2023</w:t>
      </w:r>
    </w:p>
    <w:p>
      <w:r>
        <w:t>IT: VD_GERICHTE TD17.052354 del 6 giugno 2023</w:t>
      </w:r>
    </w:p>
    <w:p>
      <w:pPr>
        <w:pStyle w:val="Heading2"/>
      </w:pPr>
      <w:r>
        <w:t>Erwägungen</w:t>
      </w:r>
    </w:p>
    <w:p>
      <w:r>
        <w:rPr>
          <w:b/>
        </w:rPr>
        <w:t>E. 3.1</w:t>
      </w:r>
    </w:p>
    <w:p>
      <w:r>
        <w:t>L’appelant fait notamment grief aux premiers juges de s’être déclarés à tort incompétents pour statuer sur le sort de l’enfant R.________. À l’appui de son grief, il invoque l’arrêt de la Cour d’appel fédérale du [...] des Y.________ du 6 décembre 2022. Dans sa réponse, l’intimée a contesté ce moyen en faisant valoir la demande de reconsidération dont elle avait saisi le Tribunal de district fédéral du [...]. Dans ses déterminations des 16 et 22 mai 2023, elle a soutenu que la procédure était toujours pendante aux Y.________ au vu des procédures introduites et que R.________ n’entendait pas retourner en Suisse.</w:t>
      </w:r>
    </w:p>
    <w:p>
      <w:r>
        <w:t>- 12 -</w:t>
      </w:r>
    </w:p>
    <w:p>
      <w:r>
        <w:rPr>
          <w:b/>
        </w:rPr>
        <w:t>E. 3.2.1.1</w:t>
      </w:r>
    </w:p>
    <w:p>
      <w:r>
        <w:t>Dans les litiges qui comportent un élément d’extranéité, la compétence territoriale est régie par la LDIP (loi fédérale du 18 décembre 1987 sur le droit international privé ; RS 291), sous réserve des traités internationaux (cf. art. 1 al. 1 et 2 LDIP). En vertu de l’art. 63 al. 1, 1ère phrase, LDIP, les tribunaux suisses compétents pour connaître d’une action en divorce sont également compétents pour se prononcer sur les effets accessoires ; la seconde phrase de la même disposition réserve toutefois les dispositions de la LDIP sur la protection des mineurs, soit l’art. 85 LDIP, qui constitue une lex specialis par rapport à l’art. 64 LDIP (ATF 142 III 56 consid. 2.1.2). Selon l’art. 85 al. 1 LDIP, en matière de protection des enfants, la compétence des autorités judiciaires ou administratives suisses est régie par la CLaH96. Ainsi, ce dernier traité s’applique non seulement aux cas présentant un lien de rattachement avec un État partie à la convention, mais aussi, en tant que droit national, dans les cas présentant un lien de rattachement avec un État qui n’est pas partie à la CLaH96 (ATF 142 III 56 consid. 2.1.3). La CLaH96 régit notamment la compétence des autorités pour prendre des mesures tendant à la protection de la personne ou des biens de l’enfant (art. 1 § 1 let. a CLaH96). Par mesures tendant à la protection de la personne ou des biens de l’enfant, la CLaH96 entend, entre autres mesures, les décisions qui portent sur l’attribution, l’exercice et le retrait total ou partiel de la responsabilité parentale (art. 3 let. a CLaH96), sur le droit de garde, comprenant au sens de la convention le droit portant sur les soins de la personne de l’enfant et, en particulier, le droit de décider de son lieu de résidence (art. 3 let. b CLaH96). Cette qualification doit être reprise également dans les cas où la CLaH96 est applicable par renvoi de l’art. 85 al. 1 LDIP (cf. ATF 142 III 56 ibid.).</w:t>
      </w:r>
    </w:p>
    <w:p>
      <w:r>
        <w:t>- 13 - Ainsi, le tribunal suisse compétent pour statuer sur une demande en divorce est compétent pour statuer sur le sort des enfants mineurs des parties si cette compétence lui est donnée au regard de la CLaH96.</w:t>
      </w:r>
    </w:p>
    <w:p>
      <w:r>
        <w:rPr>
          <w:b/>
        </w:rPr>
        <w:t>E. 3.2.1.2</w:t>
      </w:r>
    </w:p>
    <w:p>
      <w:r>
        <w:t>En l’espèce, au vu des développements qui précèdent, lors même que les Y.________ ne sont pas partie à la CLaH96, c’est bien au regard de ce traité qu’il y a lieu d’examiner, comme l’ont fait les premiers juges, la compétence internationale des autorités suisses pour statuer sur l’autorité parentale des parties sur leur fille R.________, sur le droit de déterminer le lieu de résidence de cette enfant et sur les relations personnelles de l’enfant avec le parent non gardien.</w:t>
      </w:r>
    </w:p>
    <w:p>
      <w:r>
        <w:rPr>
          <w:b/>
        </w:rPr>
        <w:t>E. 3.2.2.1</w:t>
      </w:r>
    </w:p>
    <w:p>
      <w:r>
        <w:t>Aux termes de l’art. 5 CLaH96, les autorités, tant judiciaires qu’administratives, de l’État contractant de la résidence habituelle de l’enfant sont compétentes pour prendre des mesures tendant à la protection de sa personne ou de ses biens (§ 1) ; sous réserve de l’art. 7, en cas de changement de la résidence habituelle de l’enfant dans un autre État contractant, sont compétentes les autorités de l’État de la nouvelle résidence habituelle (§ 2). L’art. 7 § 1 CLaH96 dispose qu’en cas de déplacement ou de non-retour illicite de l’enfant, les autorités de l’État contractant dans lequel l’enfant avait sa résidence habituelle immédiatement avant son déplacement ou son non-retour conservent leur compétence jusqu’au moment où l’enfant a acquis une résidence habituelle dans un autre État et que (a) toute personne, institution ou autre organisme ayant le droit de garde a acquiescé au déplacement ou au non-retour, ou que (b) l’enfant a résidé dans cet autre État pour une période d’au moins un an après que la personne, l’institution ou tout autre organisme ayant le droit de garde a connu ou aurait dû connaître le lieu où se trouvait l’enfant, aucune demande de retour présentée pendant cette période n’est encore en cours d’examen, et l’enfant s’est intégré dans son nouveau milieu.</w:t>
      </w:r>
    </w:p>
    <w:p>
      <w:r>
        <w:t>- 14 - La deuxième condition prévue à la let. b de l’art. 7 § 1 CLaH96 n’est plus remplie si la procédure de retour se termine par une décision de refus (cf. Dutoit/Bonomi, Droit international privé, Commentaire de la LDIP, 6e éd., Bâle 2022, n. 27 ad art. 85 pp. 396-397). Mais si la procédure s’achève sur une décision ordonnant le retour, il est conforme au but de la CLaH80, qui est d’empêcher que le déplacement illicite d’enfant puisse être mis à profit par le parent qui l’a commis (cf. Dutoit, op. cit., n. 26 ad art. 85 p. 396), que la compétence des autorités de l’État de résidence habituelle de l’enfant immédiatement avant son déplacement illicite soit maintenue jusqu’à l’exécution effective du retour, qui rétablira la résidence habituelle de l’enfant dans cet État.</w:t>
      </w:r>
    </w:p>
    <w:p>
      <w:r>
        <w:rPr>
          <w:b/>
        </w:rPr>
        <w:t>E. 3.2.2.2</w:t>
      </w:r>
    </w:p>
    <w:p>
      <w:r>
        <w:t>L’art. 7 § 2, 1ère phrase, CLaH96 précise que le déplacement ou le non-retour de l’enfant est considéré comme illicite (a) lorsqu’il a lieu en violation d’un droit de garde, attribué à une personne, une institution ou tout autre organisme, seul ou conjointement, par le droit de l’État dans lequel l’enfant avait sa résidence habituelle immédiatement avant son déplacement ou son non-retour et que (b) ce droit était exercé de façon effective, seul ou conjointement, au moment du déplacement ou du non- retour, ou l’eût été si de tels événements n’étaient survenus. L’art. 7 § 2, 2ème phrase, CLaH96 précise en outre que le droit de garde visé à la let. a peut notamment résulter d’une attribution de plein droit, d’une décision judiciaire ou administrative, ou d’un accord en vigueur selon le droit de cet État.</w:t>
      </w:r>
    </w:p>
    <w:p>
      <w:r>
        <w:rPr>
          <w:b/>
        </w:rPr>
        <w:t>E. 3.3</w:t>
      </w:r>
    </w:p>
    <w:p>
      <w:r>
        <w:t>En l’espèce, l’appelant et l’intimée ont toujours eu l’autorité parentale conjointe sur leur fille R.________. Ils exerçaient effectivement une garde alternée sur cette enfant depuis avril 2018, quand, le 25 juillet 2020, l’intimée a déplacé le lieu de résidence de cette enfant aux Y.________ sans l’accord de l’appelant, ni l’autorisation du juge suisse compétent. Le déplacement auquel l’intimée a ainsi procédé est donc illicite au sens de l’art. 7 § 2 CLaH96. L’appelant a, le 23 octobre 2020, saisi le tribunal Y.________ compétent d’une requête en retour de l’enfant, qui était toujours pendante lorsque les premiers juges ont gardé la cause à</w:t>
      </w:r>
    </w:p>
    <w:p>
      <w:r>
        <w:t>- 15 - juger (le 14 juillet 2022). Partant, en se déclarant incompétents pour connaître des conclusions des parties relatives à l’autorité parentale sur leur fille R.________, au droit de déterminer le lieu de résidence de l’enfant (avec la garde de fait) et à la réglementation des relations personnelles, les premiers juges ont méconnu l’art. 7 CLaH96, applicable par renvoi de l’art. 85 LDIP. On ignore si la décision rendue le 23 avril 2023 par le Tribunal de district fédéral du [...] peut encore faire l’objet d’un recours et si, par conséquent, la requête est encore à ce jour « en cours d’examen » au sens de l’art. 7 § 1 let. b CLaH96. Mais, dans l’hypothèse où tel ne serait pas le cas, la requête ayant été admise, la compétence des autorités suisses serait de toute façon maintenue. Il s’ensuit que le jugement d’irrecevabilité rendu par les premiers juges ne saurait être confirmé. L’appel principal doit être admis en ce qui concerne l’autorité parentale sur l’enfant R.________, le droit de déterminer le lieu de résidence de cette enfant (avec la garde de fait) et la réglementation des relations personnelles de l’enfant avec le parent non gardien. Les premiers juges ne s’étant pas prononcés au fond sur ces questions et l’instruction sur les faits pertinents devant être actualisée, il sied d’annuler les chiffres du dispositif du jugement attaqué qui les concernent – soit les chiffres II, III et VI – et de renvoyer dans cette mesure la cause à l’autorité précédente pour complément d’instruction et décision sur le fond. Compte tenu du renvoi de la cause à l’autorité précédente, il est précisé qu’il n’y a pas lieu de donner suite à la requête d’audition de l’enfant présentée en appel par l’intimée. Il appartiendra en effet aux premiers juges d’entreprendre les mesures d’instruction jugées utiles.</w:t>
      </w:r>
    </w:p>
    <w:p>
      <w:r>
        <w:rPr>
          <w:b/>
        </w:rPr>
        <w:t>E. 4</w:t>
      </w:r>
    </w:p>
    <w:p>
      <w:r>
        <w:t>Les parties contestent également en deuxième instance la décision des premiers juges concernant les pensions que l’appelant est condamné à payer pour contribuer à l’entretien de l’enfant (chiffre IV du dispositif), la bonification pour tâches éducatives (chiffre VIII du dispositif)</w:t>
      </w:r>
    </w:p>
    <w:p>
      <w:r>
        <w:t>- 16 - et l’inscription de l’enfant et de sa mère dans le système RIPOL/SIS (chiffre V du dispositif). Les décisions à rendre sur ces objets découlent dans une large mesure de celles qui doivent être rendues sur l’autorité parentale, sur le droit de déterminer le lieu de résidence de l’enfant (avec la garde de fait) et sur les relations personnelles. Il convient dès lors d’annuler également les chiffres IV, V et VIII du dispositif du jugement attaqué et de renvoyer la cause aux premiers juges pour nouvelle décision compte tenu de celle qu’il rendra sur l’autorité parentale, le lieu de résidence, la garde de fait et les relations personnelles.</w:t>
      </w:r>
    </w:p>
    <w:p>
      <w:r>
        <w:rPr>
          <w:b/>
        </w:rPr>
        <w:t>E. 5.1</w:t>
      </w:r>
    </w:p>
    <w:p>
      <w:r>
        <w:t>Pour la première fois en deuxième instance, l’appelant fait valoir contre l’intimée une créance en participation à ses frais de justice et d’avocat pour la procédure de retour qu’il a dû entreprendre aux Y.________ dès le 23 octobre 2020. Il oppose cette créance en compensation contre l’indemnité pour solde de tout compte qu’il s’est engagé à verser à l’intimée dans la convention que les parties ont conclue le 18 juin 2020 pour liquider leur régime matrimonial et régler leurs rapports patrimoniaux. Il conclut à la réforme du jugement attaqué en ce sens qu’il soit constaté que la créance de l’intimée est éteinte par compensation. Dans sa réponse, l’intimée soutient que l’appelant avait indiqué vouloir révoquer son accord avec la convention du 18 juin 2020, mais qu’à l’audience de jugement du 14 juillet 2022, il avait confirmé son accord. Elle conteste la recevabilité en deuxième instance des faits allégués par l’appelant à l’appui de ses prétentions en dépens pour la procédure Y.________, ses frais de justice et d’avocat ayant pour l’essentiel déjà été connus au moment de l’audience de jugement.</w:t>
      </w:r>
    </w:p>
    <w:p>
      <w:r>
        <w:rPr>
          <w:b/>
        </w:rPr>
        <w:t>E. 5.2</w:t>
      </w:r>
    </w:p>
    <w:p>
      <w:r>
        <w:t>Dans la conception suisse des dépens – qu’il y a lieu d’appliquer pour la liquidation du régime matrimonial des parties, qui est</w:t>
      </w:r>
    </w:p>
    <w:p>
      <w:r>
        <w:t>- 17 - régi par le droit suisse – la créance en versement de dépens, c’est-à-dire en paiement d’une indemnité pour les frais de justice et d’avocat engagés à l’occasion d’une procédure judiciaire, naît avec l’entrée en force de la décision qui les alloue. En l’espèce, faute de décision Y.________ en force lui allouant des dépens, l’appelant ne saurait s’opposer à la ratification de la convention du 18 juin 2020 et à sa condamnation à régler le montant de 100'000 fr. comme prévu dans celle-ci. S’il obtient des dépens aux Y.________, il lui appartiendra de recourir à d’autres voies pour recouvrer cette créance postérieure au jugement de divorce. Sur ce point, l’appel principal doit dès lors être rejeté.</w:t>
      </w:r>
    </w:p>
    <w:p>
      <w:r>
        <w:rPr>
          <w:b/>
        </w:rPr>
        <w:t>E. 6.1</w:t>
      </w:r>
    </w:p>
    <w:p>
      <w:r>
        <w:t>En définitive, l’appel principal et l’appel joint doivent être partiellement admis. Le jugement doit être confirmé pour ce qui concerne la liquidation du régime matrimonial mais il doit être annulé et la cause être renvoyée aux premiers juges pour ce qui concerne le sort de l’enfant.</w:t>
      </w:r>
    </w:p>
    <w:p>
      <w:r>
        <w:rPr>
          <w:b/>
        </w:rPr>
        <w:t>E. 6.2.1</w:t>
      </w:r>
    </w:p>
    <w:p>
      <w:r>
        <w:t>Aux termes de l’art. 104 al. 4 CPC, en cas de renvoi de la cause, la juridiction supérieure peut déléguer la répartition des frais de la procédure de recours à la juridiction précédente. La délégation se justifie dans les cas où le sort de la cause reste ouvert après l’annulation. Dans une telle situation, il est conforme à la ratio legis de l’art. 106 CPC, qui pose le principe de la succombance, que l’autorité de première instance règle également dans sa nouvelle décision les frais de la procédure de deuxième instance, en tenant compte de l’issue de la procédure au fond (TF 5A_327/2016 du 1er mai 2017 consid. 3.2.2 non publié à l’ATF 143 III 183). En cas de délégation, il appartient à la juridiction supérieure d’arrêter le montant des frais judiciaires et la charge des dépens respectifs des parties ; seule la répartition est déléguée à la juridiction précédente.</w:t>
      </w:r>
    </w:p>
    <w:p>
      <w:r>
        <w:t>- 18 -</w:t>
      </w:r>
    </w:p>
    <w:p>
      <w:r>
        <w:rPr>
          <w:b/>
        </w:rPr>
        <w:t>E. 6.2.2</w:t>
      </w:r>
    </w:p>
    <w:p>
      <w:r>
        <w:t>En l’espèce, vu l’importance largement prépondérante des questions liées au sort de l’enfant, il se justifie de déléguer aux premiers juges le soin de répartir les frais judiciaires et les dépens de deuxième instance en fonction de l’issue de la procédure au fond sur les questions intéressant l’enfant, sous réserve d’une légère pondération pour tenir compte du fait que l’appelant succombe en deuxième instance sur la liquidation du régime matrimonial.</w:t>
      </w:r>
    </w:p>
    <w:p>
      <w:r>
        <w:rPr>
          <w:b/>
        </w:rPr>
        <w:t>E. 6.3</w:t>
      </w:r>
    </w:p>
    <w:p>
      <w:r>
        <w:t>Les frais judiciaires afférents à l’appel principal et ceux afférents à l’appel joint doivent être fixés à 600 fr. pour chaque appel (art. 63 al. 1 TFJC). La charge des dépens peut être arrêtée à 3'000 fr. (cf. art.</w:t>
      </w:r>
    </w:p>
    <w:p>
      <w:r>
        <w:rPr>
          <w:b/>
        </w:rPr>
        <w:t>E. 9</w:t>
      </w:r>
    </w:p>
    <w:p>
      <w:r>
        <w:t>al. 2 TDC [tarif des dépens en matière civile du 23 novembre 2010 ; BLV 270.11.6]) pour chacune des parties dans le cadre de l’appel principal compte tenu de l’ampleur de leurs écritures. Elle peut être arrêtée à 1'000 fr. pour l’intimée dans le cadre de l’appel joint ; elle est nulle pour l’appelante, qui n’a pas été invitée à répondre sur l’appel 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