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TD17.048489 vom 10. Dezember 2019</w:t>
      </w:r>
    </w:p>
    <w:p>
      <w:r>
        <w:t>VD Tribunal cantonal, 2019-12-10, FR</w:t>
      </w:r>
    </w:p>
    <w:p>
      <w:r>
        <w:rPr>
          <w:b/>
        </w:rPr>
        <w:t xml:space="preserve">Quelle: </w:t>
      </w:r>
      <w:r>
        <w:t>https://mcp.opencaselaw.ch/entscheid/vd_gerichte_TD17.048489</w:t>
      </w:r>
    </w:p>
    <w:p>
      <w:r>
        <w:t>FR: VD_GERICHTE TD17.048489 du 10 décembre 2019</w:t>
      </w:r>
    </w:p>
    <w:p>
      <w:r>
        <w:t>IT: VD_GERICHTE TD17.048489 del 10 dicembre 2019</w:t>
      </w:r>
    </w:p>
    <w:p>
      <w:pPr>
        <w:pStyle w:val="Heading2"/>
      </w:pPr>
      <w:r>
        <w:t>Erwägungen</w:t>
      </w:r>
    </w:p>
    <w:p>
      <w:r>
        <w:rPr>
          <w:b/>
        </w:rPr>
        <w:t>E. 1</w:t>
      </w:r>
    </w:p>
    <w:p>
      <w:r>
        <w:t>Une procédure de divorce sur demande unilatérale oppose D.B.________ à E.B.________.</w:t>
      </w:r>
    </w:p>
    <w:p>
      <w:r>
        <w:t>- 3 - Une des questions litigieuses dans le cadre de la procédure est celle de la liquidation du régime matrimonial, respectivement de l’indemnité équitable due à l’épouse au sens de l’art. 165 CC pour la contribution apportée par celle-ci à l’entreprise de l’époux.</w:t>
      </w:r>
    </w:p>
    <w:p>
      <w:r>
        <w:rPr>
          <w:b/>
        </w:rPr>
        <w:t>E. 1.1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interjeté en temps utile par une partie qui a un intérêt digne de protection (art. 59 al. 2 let. a CPC), le recours est recevable. Quoi qu’en dise l’intimée, le préjudice difficilement réparable ne constitue pas une condition de recevabilité du recours dirigé contre une décision de suspension, celui-ci étant prévu par la loi (art. 126 al. 2 et 319 al. 2 let. a CPC).</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du 17 juin 2005 sur le Tribunal fédéral ; RS 173.110), ne permet que de corriger une erreur évidente, la</w:t>
      </w:r>
    </w:p>
    <w:p>
      <w:r>
        <w:t>- 5 - notion se recoupant en définitive avec l'appréciation arbitraire des preuves (Corboz, Commentaire de la LTF, 2e éd., 2014, n. 27 ad art. 97 LTF).</w:t>
      </w:r>
    </w:p>
    <w:p>
      <w:r>
        <w:rPr>
          <w:b/>
        </w:rPr>
        <w:t>E. 3.1</w:t>
      </w:r>
    </w:p>
    <w:p>
      <w:r>
        <w:t>Le recourant invoque la violation de l'art. 126 CPC. Il soutient que l'issue de la procédure pénale ouverte à son encontre n'influencera et ne simplifiera pas la procédure de divorce pendante, qui est en état d'être jugée, même dans l'hypothèse improbable d'une condamnation. En effet, la procédure pénale tendrait à compléter des allégations insuffisantes de l'intimée, alors que cette dernière n’aurait ni allégué, ni prouvé un quelconque élément permettant de quantifier une prétendue liquidation du régime matrimonial, ni une éventuelle prétention basée sur l'art. 165 CC, compte tenu de la maxime des débats. L’intimée se serait contentée de requérir une expertise sur ces questions, qui avait été refusée. Le recourant estime qu’une partie ne peut pas être condamnée pour fausse déclaration en justice au sens de l’art. 306 CP si elle a déclaré qu'elle ne connaissait pas la réponse à une question posée. En outre, même s'il fallait retenir des réponses inverses aux questions formulées dans les allégués concernés, cela ne permettrait pas de quantifier la moindre prétention fondée sur la liquidation du régime matrimonial ou sur l'art. 165 CC, ni d'estimer une hypothétique contribution allant au-delà de l'art. 163 al. 2 CC. Pour le recourant, la suspension ordonnée viole le principe constitutionnel de la célérité, la pesée des intérêts plaidant en faveur de l'avancement du procès en divorce. Pour sa part, l'intimée considère que la suspension de la procédure de divorce ne causerait pas au recourant un préjudice difficilement réparable, dès lors que seules la question de la liquidation du régime matrimonial et de l'application de l'art. 165 CC seraient encore litigieuses, aucune contribution d'entretien ne lui étant due conformément à l'arrêt du Juge délégué de la Cour d’appel civile du 4 décembre 2018. L'intimée relève en outre que, dès lors que l'expertise a été refusée pour déterminer l'indemnité équitable, seuls l'audition de témoins – ceux du</w:t>
      </w:r>
    </w:p>
    <w:p>
      <w:r>
        <w:t>- 6 - recourant étant orientés – et l'interrogatoire des parties, en particulier du recourant, permettraient d'évaluer et de chiffrer ses prétentions. L'intimée se prévaut encore du fait qu'elle ne dispose pratiquement plus d'aucune pièce concernant les projets effectués par les époux en commun, alors que le juge pénal pourra, sur demande, requérir ces pièces du recourant afin de le confondre ainsi qu'auditionner des tiers dont l'identité sera révélée dans la plainte pénale. L'intimée relève encore que c'est à l'autorité de poursuite pénale de décider si les agissements du recourant sont constitutifs d'une violation de l'art. 306 CP. Dans ce contexte, elle se réfère à l'arrêt du Tribunal pénal fédéral du 21 juin 2011 (TPF 2011 97), dont il ressort que la déclaration reprochée à une partie avait la valeur d'un moyen de preuve en faveur de la partie interrogée (consid. 3.3.1/b). L'intimée en déduit que l'éventuel mensonge du recourant, retenu par le juge pénal, aurait bien des conséquences sur la suite de la procédure de divorce.</w:t>
      </w:r>
    </w:p>
    <w:p>
      <w:r>
        <w:rPr>
          <w:b/>
        </w:rPr>
        <w:t>E. 3.2</w:t>
      </w:r>
    </w:p>
    <w:p>
      <w:r>
        <w:t>Aux termes de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Commentaire romand CPC, 2e éd., 2019, nn. 5 ss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 Sutter- Somm/Hasenböhler/Leuenberger [éd.], Kommentar zur Schweizerischen Zivilprozessordnung, 3e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w:t>
      </w:r>
    </w:p>
    <w:p>
      <w:r>
        <w:t>- 7 - Zivilprozessordnung Kommentar, 2e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 Spühler/Tenchio/Infanger [éd.], Schweizerische Zivilprozessordnung, 3e éd. 2017,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w:t>
      </w:r>
    </w:p>
    <w:p>
      <w:r>
        <w:rPr>
          <w:b/>
        </w:rPr>
        <w:t>E. 3.3</w:t>
      </w:r>
    </w:p>
    <w:p>
      <w:r>
        <w:t>En l'espèce, la pesée des intérêts en cause commande de maintenir la suspension ordonnée par les premiers juges. En effet, invité à déposer au sens de l’art. 192 al. 1 CPC et informé des conséquences d’une fausse déclaration au sens de l’art. 306 CPC pour déterminer plus avant les prétentions dues à l'intimée à titre de liquidation du régime matrimonial, voire à titre de contribution extraordinaire, le recourant n'a absolument pas indiqué le taux d'activité de son épouse, se limitant à se référer à des dossiers qu'il devrait consulter. Il a en outre répondu de manière contradictoire sur la réalisation ou non d'un projet par son épouse, en déclarant que celle-ci avait participé à l’élaboration des plans de mise à l’enquête d’un projet, mais pas à l’élaboration des plans d’exécution du même projet. Dès lors que les déclarations du recourant, déposées en application de l'art. 192 al. 1 CPC, ont la valeur d'un moyen de preuve, conformément à l’arrêt du Tribunal pénal fédéral TPF 2011 97 précité, et en l'absence de toute expertise ordonnée par les premiers juges – la question du refus d'expertise ne relevant pas de la présente procédure –, la suspension de la procédure civile afin de permettre au juge pénal de statuer sur la réalisation de l'infraction prévue à l'art. 306 CP correspond, au vu des circonstances, à un vrai besoin, à savoir celui de clarifier au maximum la situation des parties, ce qui permettra, quelle que soit l’issue</w:t>
      </w:r>
    </w:p>
    <w:p>
      <w:r>
        <w:t>- 8 - de la procédure pénale, de simplifier la suite de la procédure civile. Aussi, l'intérêt à la clarification, soit à la simplification de la procédure l'emporte ici sur l'intérêt à l'avancement de la procédure, ce d'autant plus que selon l’intimée, la question du paiement de contributions alimentaires périodiques n'entre pas en ligne de compte.</w:t>
      </w:r>
    </w:p>
    <w:p>
      <w:r>
        <w:rPr>
          <w:b/>
        </w:rPr>
        <w:t>E. 4</w:t>
      </w:r>
    </w:p>
    <w:p>
      <w:r>
        <w:t>Les considérants qui précèdent conduisent au rejet du recours. Les frais judiciaires de deuxième instance, arrêtés à 600 fr. (art. 69 al. 1 et 70 al. 2 TFJC [tarif des frais judiciaires civils du 28 septembre 2010 ; BLV 270.11.5]), seront mis à la charge du recourant, qui succombe (art. 106 al. 1 CPC). Celui-ci versera à l’intimée la somme de 1'000 fr. à titre de dépens de deuxième instance (art. 3 al. 2 et 8 TDC [tarif du 23 novembre 2010 des dépens en matière civile ; BLV 270.11.6]). Par ces motifs, la Chambre des recours civile du Tribunal cantonal, prononce : I. Le recours est rejeté. II. La décision est confirmée. III. Les frais judiciaires de deuxième instance, arrêtés à 600 fr. (six cents francs), sont mis à la charge du recourant D.B.________. IV. Le recourant D.B.________ doit verser à l'intimée E.B.________ la somme de 1'000 fr. (mille francs) à titre de dépens de deuxième instance. V. L’arrêt est exécutoire.</w:t>
      </w:r>
    </w:p>
    <w:p>
      <w:r>
        <w:t>- 9 - Le président : Le greffier : Du L'arrêt qui précède, dont la rédaction a été approuvée à huis clos, est notifié à : - Me Jana Burysek (pour D.B.________), - Me Alain-Valéry Poitry (pour E.B.________).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