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TD17.017918 vom 28. August 2018</w:t>
      </w:r>
    </w:p>
    <w:p>
      <w:r>
        <w:t>VD Tribunal cantonal, 2018-08-28, FR</w:t>
      </w:r>
    </w:p>
    <w:p>
      <w:r>
        <w:rPr>
          <w:b/>
        </w:rPr>
        <w:t xml:space="preserve">Quelle: </w:t>
      </w:r>
      <w:r>
        <w:t>https://mcp.opencaselaw.ch/entscheid/vd_gerichte_TD17.017918</w:t>
      </w:r>
    </w:p>
    <w:p>
      <w:r>
        <w:t>FR: VD_GERICHTE TD17.017918 du 28 août 2018</w:t>
      </w:r>
    </w:p>
    <w:p>
      <w:r>
        <w:t>IT: VD_GERICHTE TD17.017918 del 28 agosto 2018</w:t>
      </w:r>
    </w:p>
    <w:p>
      <w:pPr>
        <w:pStyle w:val="Heading2"/>
      </w:pPr>
      <w:r>
        <w:t>Erwägungen</w:t>
      </w:r>
    </w:p>
    <w:p>
      <w:r>
        <w:rPr>
          <w:b/>
        </w:rPr>
        <w:t>E. 1</w:t>
      </w:r>
    </w:p>
    <w:p>
      <w:r>
        <w:t>Par prononcé du 6 juillet 2018, la Présidente du Tribunal civil de l’arrondissement de Lausanne a relevé Me P.________ de sa mission (I), a fixé l’indemnité finale de conseil d’office de U.________, allouée à Me P.________, à 5'422 fr. 25, débours, vacations et TVA inclus, pour la période du 14 mars 2017 au 3 avril 2018 (II), a dit que la bénéficiaire de l’assistance judiciaire était, dans la mesure de l’art. 123 CPC, tenue au remboursement de l’indemnité du conseil d’office mise provisoirement à la charge de l’Etat (III), a désigné en remplacement Me [...] comme avocat d’office de U.________ dans la cause en modification de jugement de divorce l’opposant à [...] (IV), a invité Me P.________ à transmettre à Me [...] le dossier concernant cette cause (V) et a dit que le prononcé était rendu sans frais (VI).</w:t>
      </w:r>
    </w:p>
    <w:p>
      <w:r>
        <w:rPr>
          <w:b/>
        </w:rPr>
        <w:t>E. 2.1</w:t>
      </w:r>
    </w:p>
    <w:p>
      <w:r>
        <w:t>Par courrier du 14 juillet 2018, U.________ a interjeté recours contre ce prononcé, en concluant, en substance, à ce que l’indemnité finale de Me P.________ soit annulée et à ce que des dommages-intérêts lui soient alloués pour le préjudice causé par son conseil d’office. En guise de motivation, elle a indiqué que « les déclarations du temps consacré à ma cause par maître P.________ sont trop exagéré (sic). »</w:t>
      </w:r>
    </w:p>
    <w:p>
      <w:r>
        <w:rPr>
          <w:b/>
        </w:rPr>
        <w:t>E. 2.2</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(CREC 15 avril 2014/140 ; CREC 13 février 2013/52 ; Tappy, Code de procédure civile commenté, Bâle 2011, n. 21 ad art. 122 CPC). L’art. 122 al. 1 let. a CPC règle la rémunération du conseil d’office. Cet article figure au chapitre qui réglemente l'assistance judiciaire et qui comprend les art. 117 à 123 CPC. En appliquant par analogie l'art.</w:t>
      </w:r>
    </w:p>
    <w:p>
      <w:r>
        <w:t>- 3 - 119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rPr>
          <w:b/>
        </w:rPr>
        <w:t>E. 2.3</w:t>
      </w:r>
    </w:p>
    <w:p>
      <w:r>
        <w:t>En l’espèce, le prononcé en fixation de l’indemnité du conseil d’office a été notifié à la recourante le 9 juillet 2018, de sorte que le recours, interjeté le 14 juillet 2018, l’a été en temps utile.</w:t>
      </w:r>
    </w:p>
    <w:p>
      <w:r>
        <w:rPr>
          <w:b/>
        </w:rPr>
        <w:t>E. 3.1</w:t>
      </w:r>
    </w:p>
    <w:p>
      <w:r>
        <w:t>; 5A_438/2012 du 27 août 2012 consid. 2.2, in RSPC 2013 p. 29 ;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2011, n. 3 ad art. 311 CPC et n. 4 ad art. 321 CPC). A défaut de motivation suffisante, le recours est irrecevable (TF 4A_101/2014 du 26 juin 2014 consid. 3.3 ; 4A_651/2012 du</w:t>
      </w:r>
    </w:p>
    <w:p>
      <w:r>
        <w:rPr>
          <w:b/>
        </w:rPr>
        <w:t>E. 3.2</w:t>
      </w:r>
    </w:p>
    <w:p>
      <w:r>
        <w:t>L’acte doit être écrit et motivé selon l’art. 321 al. 1 CPC. Cela implique que le recourant ne peut pas se contenter de renvoyer aux écritures précédentes ou aux moyens soulevés en première instance ; il doit expliquer en quoi son argumentation peut influer sur la solution retenue par les premiers juges (TF 4A_474/2013 du 10 mars 2014 consid.</w:t>
      </w:r>
    </w:p>
    <w:p>
      <w:r>
        <w:rPr>
          <w:b/>
        </w:rPr>
        <w:t>E. 3.3</w:t>
      </w:r>
    </w:p>
    <w:p>
      <w:r>
        <w:t>En l’espèce, la recourante conclut à l’annulation de l’indemnité d’office de son mandataire, ce qui est admissible sous l’angle des conclusions que doit contenir le recours, puisque cela équivaut à demander qu’aucune indemnité ne lui soit allouée. Par contre, le recours est irrecevable sous l’angle de sa motivation. La recourante se borne en effet à contester les honoraires de son conseil d’office, sans exposer en quoi les opérations portées en compte ne justifieraient pas le temps consacré au mandat ni pour quelle raison il se justifierait de n’allouer aucune indemnité au conseil d’office. Cette critique, toute générale, est déficiente. Au demeurant, si l’on devait encore déduire de la motivation de la recourante que celle-ci ne conteste que la quotité de l’indemnité d’office, sans la remettre en cause totalement, alors les conclusions seraient aussi déficientes, à défaut d’être chiffrées. Quant à la conclusion de la recourante tendant à l’allocation de dommages-intérêts en raison du préjudice causé par son conseil d’office, il s’agit d’une conclusion nouvelle, irrecevable au regard de l’art. 326 CPC. 4. En définitive, le recours doit être déclaré irrecevable selon le mode procédural de l’art. 322 al. 1 CPC et le prononcé confirmé. Les frais judiciaires de deuxième instance, arrêtés à 100 fr. (art. 69 al. 3 TFJC [tarif des frais judiciaires civils du 28 septembre 2010 ; RSV 270.11.5]), seront mis à la charge de la recourante, qui succombe (art. 106 al. 1 CPC).</w:t>
      </w:r>
    </w:p>
    <w:p>
      <w:r>
        <w:t>- 5 - Par ces motifs, la Chambre des recours civile du Tribunal cantonal, en application de l'art. 322 al. 1 CPC, prononce : I. Le recours est irrecevable. II. Les frais judiciaires de deuxième instance, arrêtés à 100 fr. (cent francs), sont mis à la charge de la recourante U.________. III. L’arrêt est exécutoire. Le président : La greffière : Du L'arrêt qui précède, dont la rédaction a été approuvée à huis clos, est notifié à : - Mme U.________,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de l’arrondissement de Lausanne. La greffière :</w:t>
      </w:r>
    </w:p>
    <w:p>
      <w:r>
        <w:rPr>
          <w:b/>
        </w:rPr>
        <w:t>E. 7</w:t>
      </w:r>
    </w:p>
    <w:p>
      <w:r>
        <w:t>février 2013 consid. 4.2). Le recours doit en outre contenir, sous peine d'irrecevabilité, des conclusions en annulation ou au fond (Jeandin, op. cit., n. 5 ad art. 321 CPC), soit l'exposé de ce que la partie veut que le tribunal lui alloue dans</w:t>
      </w:r>
    </w:p>
    <w:p>
      <w:r>
        <w:t>- 4 - sa décision (Tappy, op. cit., n. 11 ad art. 221 CPC). En particulier, le recours doit contenir des conclusions chiffrées s’agissant de conclusions pécuniaires (ATF 137 III 617 consid. 4 ; TF 4A_35/2015 du 12 juin 2015 consid. 3.2 ; 4A_579/2013 du 17 février 2014 consid. 4 ; CREC 11 juillet 2014/238).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