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TD17.015690 vom 11. Dezember 2020</w:t>
      </w:r>
    </w:p>
    <w:p>
      <w:r>
        <w:t>VD Tribunal cantonal, 2020-12-11, FR</w:t>
      </w:r>
    </w:p>
    <w:p>
      <w:r>
        <w:rPr>
          <w:b/>
        </w:rPr>
        <w:t xml:space="preserve">Quelle: </w:t>
      </w:r>
      <w:r>
        <w:t>https://mcp.opencaselaw.ch/entscheid/vd_gerichte_TD17.015690</w:t>
      </w:r>
    </w:p>
    <w:p>
      <w:r>
        <w:t>FR: VD_GERICHTE TD17.015690 du 11 décembre 2020</w:t>
      </w:r>
    </w:p>
    <w:p>
      <w:r>
        <w:t>IT: VD_GERICHTE TD17.015690 del 11 dicembre 2020</w:t>
      </w:r>
    </w:p>
    <w:p>
      <w:pPr>
        <w:pStyle w:val="Heading2"/>
      </w:pPr>
      <w:r>
        <w:t>Erwägungen</w:t>
      </w:r>
    </w:p>
    <w:p>
      <w:r>
        <w:rPr>
          <w:b/>
        </w:rPr>
        <w:t>E. 1</w:t>
      </w:r>
    </w:p>
    <w:p>
      <w:r>
        <w:t>A.Z.________, né le ...][...] 1966, et B.Z.________, née [...] le ...][...] 1971, se sont mariés le ...][...] 1997 à ...]Pully (VD). Deux enfants, aujourd’hui majeurs, sont issus de leur union. Les parties vivent séparées depuis le 1er avril 2015.</w:t>
      </w:r>
    </w:p>
    <w:p>
      <w:r>
        <w:t>- 4 -</w:t>
      </w:r>
    </w:p>
    <w:p>
      <w:r>
        <w:rPr>
          <w:b/>
        </w:rPr>
        <w:t>E. 1.1.1</w:t>
      </w:r>
    </w:p>
    <w:p>
      <w:r>
        <w:t>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2e éd. [cité ci- après CR-CPC],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w:t>
      </w:r>
    </w:p>
    <w:p>
      <w:r>
        <w:t>- 6 - (cf. notamment Juge déléguée CACI 11 mai 2020/176 consid. 1.1.2 ; Juge délégué CACI 6 décembre 2012/505 consid. 1a).</w:t>
      </w:r>
    </w:p>
    <w:p>
      <w:r>
        <w:rPr>
          <w:b/>
        </w:rPr>
        <w:t>E. 1.1.2</w:t>
      </w:r>
    </w:p>
    <w:p>
      <w:r>
        <w:t>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 SJ 2015 I 371).</w:t>
      </w:r>
    </w:p>
    <w:p>
      <w:r>
        <w:rPr>
          <w:b/>
        </w:rPr>
        <w:t>E. 1.2</w:t>
      </w:r>
    </w:p>
    <w:p>
      <w:r>
        <w:t>En l’espèce, le requérant a déposé sa demande de révision auprès de la Juge déléguée de la Cour d’appel civile du Tribunal cantonal, qui a rendu l’arrêt du 18 septembre 2020. Un recours au Tribunal fédéral est actuellement pendant. Il porte toutefois sur la question de la contribution d’entretien due à l’intimée et non pas sur la question qui fait l’objet de la demande de révision, soit la provisio ad litem. C’est donc bien la juge déléguée de céans qui a statué en dernière instance sur la question factuelle topique et qui est compétente pour statuer sur la demande de révision (ATF 134 III 45 consid. 2.2 ; TF 4F_1173013 du 16 octobre 2013 consid. 3.2.1 ; Colombini, Code de procédure civile, Condensé de la jurisprudence fédérale et vaudoise, Lausanne 2018, nn.</w:t>
      </w:r>
    </w:p>
    <w:p>
      <w:r>
        <w:rPr>
          <w:b/>
        </w:rPr>
        <w:t>E. 2</w:t>
      </w:r>
    </w:p>
    <w:p>
      <w:r>
        <w:t>Le 10 avril 2017 (respectivement le 10 novembre 2017 s’agissant de la demande motivée), A.Z.________ a déposé une demande en divorce. Le 23 mars 2018, B.Z.________ a déposé une réponse, aux termes de laquelle elle a adhéré au principe du divorce.</w:t>
      </w:r>
    </w:p>
    <w:p>
      <w:r>
        <w:rPr>
          <w:b/>
        </w:rPr>
        <w:t>E. 2.1</w:t>
      </w:r>
    </w:p>
    <w:p>
      <w:r>
        <w:t>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w:t>
      </w:r>
    </w:p>
    <w:p>
      <w:r>
        <w:t>- 7 -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Les mesures protectrices de l'union conjugale ou les mesures provisionnelles de divorce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 réglementation, telles que les mesures provisoires pendant la procédure de divorce (ATF 127 III 496 consid. 3b/bb in fine, qui demeure valable sous l'empire du CPC (ATF 139 III 126 consid. 4.4 ; TF 5A_97/2017 du 23 août 2017 consid. 11.2). Récemment, le Tribunal fédéral a précisé que</w:t>
      </w:r>
    </w:p>
    <w:p>
      <w:r>
        <w:t>- 8 - l'action en modification au sens de l'art. 179 CC ne peut se fonder que sur de vrais nova,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1er octobre 2019 consid. 4.1, FamPra.ch 2020 p. 177).</w:t>
      </w:r>
    </w:p>
    <w:p>
      <w:r>
        <w:rPr>
          <w:b/>
        </w:rPr>
        <w:t>E. 2.2</w:t>
      </w:r>
    </w:p>
    <w:p>
      <w:r>
        <w:t>Selon la jurisprudence publiée encore récemment, d’ailleurs citée par le requérant, en ce qui concerne les faits pertinents, la révision suppose la réalisation de cinq conditions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w:t>
      </w:r>
    </w:p>
    <w:p>
      <w:r>
        <w:t>- 9 -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La jurisprudence a estimé qu’une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w:t>
      </w:r>
    </w:p>
    <w:p>
      <w:r>
        <w:rPr>
          <w:b/>
        </w:rPr>
        <w:t>E. 2.3</w:t>
      </w:r>
    </w:p>
    <w:p>
      <w:r>
        <w:t>En l’espèce, à l’appui de sa requête de révision, le requérant produit comme seul moyen de preuve le procès-verbal de l’audition en qualité de prévenue de [...], conseil de son épouse, par le Ministère public le 5 novembre 2020. Ce moyen de preuve a été indéniablement établi postérieurement au dernier moment auquel il pouvait encore être administré dans la procédure précédente (cf. consid. 2.1 et 2.2.2 supra), étant même postérieur à la notification de l’arrêt objet de la demande de révision. Partant, la condition n° 3 posée par la jurisprudence précitée n’est pas réalisée, le fait que la preuve ait été destinée à établir un fait antérieur important peu à cet égard. Cela impose déjà le rejet de la demande de révision (voir dans ce sens l’arrêt 5a_474/2018 susmentionné).</w:t>
      </w:r>
    </w:p>
    <w:p>
      <w:r>
        <w:rPr>
          <w:b/>
        </w:rPr>
        <w:t>E. 2.4</w:t>
      </w:r>
    </w:p>
    <w:p>
      <w:r>
        <w:t>Au demeurant, le seul fait que le conseil de l’intimée déclare ne plus « facturer » d’honoraires à sa cliente ne signifie aucunement qu’elle ne comptabilise pas le temps passé sur ce dossier et qu’elle ne</w:t>
      </w:r>
    </w:p>
    <w:p>
      <w:r>
        <w:t>- 10 - réclamera pas le paiement de son travail plus tard. On rappellera à cet égard que la décision objet de la demande de révision constate que l’intimée était au bénéfice de l’assistance judiciaire en première instance. Or, celle-ci avait été ouverte par une requête de mesures provisionnelles du 21 mars 2018. La décision objet de la demande de révision constate ensuite que la défenderesse a requis le bénéfice de l’assistance judiciaire pour la procédure d’appel et que par avis du 21 mai 2020 de la juge déléguée, elle a été dispensée de l’avance de frais judiciaires, la décision définitive sur l’assistance judiciaire étant réservée. Cela explique encore que le conseil de la défenderesse n’ait plus adressé de « factures » à cette dernière, sans que cela n’implique qu’il ne comptabilisait pas son travail pour le facturer dès que la question de la provisio ad litem aurait été tranchée et, le cas échéant, que celle-ci aurait été payée par le requérant à l’intimée, à son conseil ou encore au Service juridique et législatif si l’intimée n’obtenait finalement pas de provisio ad litem mais était considérée comme remplissant les conditions posées par l’art. 117 CPC. Le fait invoqué, même à supposer qu’il soit recevable, n’aurait ainsi pas été propre à remettre en question la décision attaquée dans un sens favorable au requérant. Pour ce motif encore, il se justifie de rejeter la demande de révision. 3. Il résulte de ce qui précède que la demande de révision est manifestement infondée et doit être rejetée conformément à l’art. 330 CPC. Le présent arrêt est rendu sans frais judiciaires (art. 11 TFJC [tarif du 28 septembre 2010 des frais judiciaires civils ; BLV 270.11.5]). Il n’y a pas matière à l’allocation de dépens, l’intimée n’ayant pas été invitée à se déterminer.</w:t>
      </w:r>
    </w:p>
    <w:p>
      <w:r>
        <w:t>- 11 - Par ces motifs, la juge déléguée de la Cour d’appel civile prononce : I. La demande de révision est rejetée. II. L’arrêt, rendu sans frais ni dépens, est exécutoire. La juge déléguée : La greffière : Du Le présent arrêt, dont la rédaction a été approuvée à huis clos, est notifié en expédition complète à : - Me Bertrand Demierre (pour A.Z.________), - Me [...] (pour B.Z.________),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w:t>
      </w:r>
    </w:p>
    <w:p>
      <w:r>
        <w:t>Le 21 mars 2018, B.Z.________ a adressé au premier juge une requête de mesures provisionnelles, dans laquelle elle a notamment conclu, sous suite de frais, à ce que A.Z.________ contribue à son entretien par le régulier versement d’une pension mensuelle de 4'500 fr. dès le 1er mai 2017 (I) et à ce qu’il lui verse un montant de 50'000 fr. à titre de provisio ad litem (III). B.Z.________ a en outre requis l’octroi de l’assistance judiciaire. Par décision du 23 mars 2018, la présidente a accordé à B.Z.________ le bénéfice de l’assistance judiciaire. Par déterminations du 10 octobre 2019, comprenant 109 pages et 500 allégués, A.Z.________ a conclu principalement au rejet des conclusions prises par B.Z.________ (I) et à la suppression dès le 1er mai 2018 de la contribution d’entretien en faveur de celle-ci (II), sous suite de frais. Par déterminations du 28 octobre 2019, B.Z.________ a notamment conclu, avec suite de frais et dépens, à ce que A.Z.________ contribue à son entretien par le régulier versement d’un montant mensuel de 5'700 fr. dès le 1er mai 2017 (I) et à ce qu’il lui verse un montant de 100'000 fr. à titre de provisio ad litem (IV). L’audience de mesures provisionnelles a été agendée au 30 octobre 2019. A cette occasion, A.Z.________ a déposé des déterminations, dans lesquelles il a conclu au rejet des conclusions prises par B.Z.________ le 28 octobre 2019.</w:t>
      </w:r>
    </w:p>
    <w:p>
      <w:r>
        <w:t>- 5 -</w:t>
      </w:r>
    </w:p>
    <w:p>
      <w:r>
        <w:rPr>
          <w:b/>
        </w:rPr>
        <w:t>E. 3.1</w:t>
      </w:r>
    </w:p>
    <w:p>
      <w:r>
        <w:t>et 3.4 ad art. 328 CPC et les réf. citées). Pour le surplus, le requérant a déposé sa demande le 25 novembre 2020, en faisant valoir qu’il avait appris le 5 novembre 2020 que le conseil de l’intimée ne facturait plus ses honoraires. Le requérant a ainsi agi dans le délai de 90 jours, soit en temps utile. Satisfaisant aux autres conditions de recevabilité, la demande de révision est recevable. 2.</w:t>
      </w:r>
    </w:p>
    <w:p>
      <w:r>
        <w:rPr>
          <w:b/>
        </w:rPr>
        <w:t>E. 4</w:t>
      </w:r>
    </w:p>
    <w:p>
      <w:r>
        <w:t>Me [...], conseil de B.Z.________ a été entendue en qualité de prévenue le 5 novembre 2020 par le Ministère public central dans le cadre d’une enquête ouverte sur plainte de A.Z.________. Il ressort notamment du procès-verbal d’audition rédigé à cette occasion que Me [...] a déclaré, à la question de savoir si le mandat était assumé par plusieurs personnes, que « on peut dire que c’est sous ma responsabilité puisque c’est moi qui facture, bien que je ne facture plus depuis longtemps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