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TD16.053039 vom 30. Juni 2020</w:t>
      </w:r>
    </w:p>
    <w:p>
      <w:r>
        <w:t>VD Tribunal cantonal, 2020-06-30, FR</w:t>
      </w:r>
    </w:p>
    <w:p>
      <w:r>
        <w:rPr>
          <w:b/>
        </w:rPr>
        <w:t xml:space="preserve">Quelle: </w:t>
      </w:r>
      <w:r>
        <w:t>https://mcp.opencaselaw.ch/entscheid/vd_gerichte_TD16.053039</w:t>
      </w:r>
    </w:p>
    <w:p>
      <w:r>
        <w:t>FR: VD_GERICHTE TD16.053039 du 30 juin 2020</w:t>
      </w:r>
    </w:p>
    <w:p>
      <w:r>
        <w:t>IT: VD_GERICHTE TD16.053039 del 30 giugno 2020</w:t>
      </w:r>
    </w:p>
    <w:p>
      <w:pPr>
        <w:pStyle w:val="Heading2"/>
      </w:pPr>
      <w:r>
        <w:t>Erwägungen</w:t>
      </w:r>
    </w:p>
    <w:p>
      <w:r>
        <w:rPr>
          <w:b/>
        </w:rPr>
        <w:t>E. 1.1</w:t>
      </w:r>
    </w:p>
    <w:p>
      <w:r>
        <w:t>A.R.________ et B.R.________ se sont mariés le 6 septembre 1997 à Berkswell (Grande-Bretagne). Trois enfants sont issus de cette union : - T.________, née le [...] 2002, - W.________, né le [...] 2003, et - L.________, né le [...] 2007. A.R.________ est également le père d’un quatrième enfant, né le [...] 2019 de l’union avec sa nouvelle compagne.</w:t>
      </w:r>
    </w:p>
    <w:p>
      <w:r>
        <w:rPr>
          <w:b/>
        </w:rPr>
        <w:t>E. 1.2</w:t>
      </w:r>
    </w:p>
    <w:p>
      <w:r>
        <w:t>A.R.________ a déposé une demande unilatérale en divorce.</w:t>
      </w:r>
    </w:p>
    <w:p>
      <w:r>
        <w:rPr>
          <w:b/>
        </w:rPr>
        <w:t>E. 1.3</w:t>
      </w:r>
    </w:p>
    <w:p>
      <w:r>
        <w:t>Les parties ont signé une convention partielle sur les effets accessoires du divorce à l’audience du 3 décembre 2019.</w:t>
      </w:r>
    </w:p>
    <w:p>
      <w:r>
        <w:rPr>
          <w:b/>
        </w:rPr>
        <w:t>E. 2</w:t>
      </w:r>
    </w:p>
    <w:p>
      <w:r>
        <w:t>Par jugement du 22 mai 2020, le Tribunal civil de l’arrondissement de la Côte (ci-après : le tribunal ou les premiers juges) a en substance prononcé le divorce des parties, a ratifié la convention partielle du 3 décembre 2019 et a réglé les effets accessoires du divorce.</w:t>
      </w:r>
    </w:p>
    <w:p>
      <w:r>
        <w:rPr>
          <w:b/>
        </w:rPr>
        <w:t>E. 3</w:t>
      </w:r>
    </w:p>
    <w:p>
      <w:r>
        <w:t>Par acte du 18 juin 2020 adressé au tribunal, A.R.________ a interjeté appel contre le jugement précité. Le 22 juin 2020, le tribunal a transmis cette écriture et le dossier de la cause à la Cour de céans comme objet de sa compétence.</w:t>
      </w:r>
    </w:p>
    <w:p>
      <w:r>
        <w:rPr>
          <w:b/>
        </w:rPr>
        <w:t>E. 4.1</w:t>
      </w:r>
    </w:p>
    <w:p>
      <w:r>
        <w:t>L’appel est recevable contre les décisions finales de première instance (art. 308 al. 1 let. a CPC), dans les causes non patrimoniales et dans les causes patrimoniales dont la valeur litigieuse au dernier état des</w:t>
      </w:r>
    </w:p>
    <w:p>
      <w:r>
        <w:t>- 3 - conclusions est de 10'000 fr. au moins (art. 308 al. 2 CPC). Les affaires relevant du droit de la famille ne sont pas patrimoniales, sauf si l’appel ne porte que sur les aspects financiers d’un divorce (TF 5A_819/2016 du 21 février 2017 consid. 1 et réf. cit. ; Jeandin, Commentaire romand, Code de procédure civile [ci-après : CR-CPC], 2e éd., Bâle 2019, n. 12 ad art. 308 CPC et réf. cit.). Le délai pour l’introduction de l’appel est de trente jours à compter de la notification de la décision motivée (art. 311 al. 1 CPC).</w:t>
      </w:r>
    </w:p>
    <w:p>
      <w:r>
        <w:rPr>
          <w:b/>
        </w:rPr>
        <w:t>E. 4.2</w:t>
      </w:r>
    </w:p>
    <w:p>
      <w:r>
        <w:t>En l’espèce, déposé en temps utile par une partie qui a un intérêt digne de protection (art. 59 al. 2 let. a CPC) et portant sur une affaire relevant du droit de la famille dont la valeur litigieuse est supérieure à 10'000 fr., l’appel est recevable à cet égard.</w:t>
      </w:r>
    </w:p>
    <w:p>
      <w:r>
        <w:rPr>
          <w:b/>
        </w:rPr>
        <w:t>E. 5.1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t>- 4 -</w:t>
      </w:r>
    </w:p>
    <w:p>
      <w:r>
        <w:rPr>
          <w:b/>
        </w:rPr>
        <w:t>E. 5.2</w:t>
      </w:r>
    </w:p>
    <w:p>
      <w:r>
        <w:t>En outre, à l’instar de l’acte introductif d’instance, l’acte d’appel doit contenir des conclusions au fond.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w:t>
      </w:r>
    </w:p>
    <w:p>
      <w:r>
        <w:rPr>
          <w:b/>
        </w:rPr>
        <w:t>E. 5.3</w:t>
      </w:r>
    </w:p>
    <w:p>
      <w:r>
        <w:t>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CR-CPC, n. 5 ad art. 311 CPC ; CACI 25 février 2020/99 consid. 2.2). Il peut toutefois être remédié à des conclusions formellement déficientes, lorsqu’on comprend à la lecture de la motivation ce que demande l’appelant, respectivement à quel montant il prétend (Colombini, CPC Condensé de jurisprudence, 2018, n. 9.3.1 ad art. 311 CPC et réf. cit.).</w:t>
      </w:r>
    </w:p>
    <w:p>
      <w:r>
        <w:t>- 5 -</w:t>
      </w:r>
    </w:p>
    <w:p>
      <w:r>
        <w:rPr>
          <w:b/>
        </w:rPr>
        <w:t>E. 5.4</w:t>
      </w:r>
    </w:p>
    <w:p>
      <w:r>
        <w:t>En l’espèce, l’appelant se contente de formuler contre le jugement entrepris des critiques toutes générales qui ne sont pas concrétisées par des conclusions et qui ne réalisent pas les exigences de motivation suffisante au sens de l’art. 311 al. 1 CPC, même s’agissant d’une partie non assistée. L’appelant conclut à ce que la pension alimentaire fixée dans la convention du 3 décembre 2019 et ratifiée par les premiers juges soit réduite. L’appelant ne précise cependant pas à combien il voudrait réduire la pension, et la lecture des arguments invoqués dans son mémoire ne permet pas de le déterminer. Il conclut ensuite à ce que le paiement de 85'044 fr., auquel les premiers juges l’ont astreint à titre de liquidation du régime matrimonial, soit « annulé car le Tribunal de Nyon a déjà réglé cette question en 2014 ». Là aussi, cette conclusion n’est aucunement motivée dans le reste de son mémoire, l’appelant se bornant à indiquer que cette question aurait déjà été résolue en 2014, ce qui au demeurant est peu vraisemblable puisqu’elle concerne la liquidation du régime matrimonial. Partant, faute de conclusions et de motivation, ce qui constitue un vice irréparable, l’appel doit être déclaré irrecevable.</w:t>
      </w:r>
    </w:p>
    <w:p>
      <w:r>
        <w:rPr>
          <w:b/>
        </w:rPr>
        <w:t>E. 6</w:t>
      </w:r>
    </w:p>
    <w:p>
      <w:r>
        <w:t>Compte tenu de ce qui précède, l’appel doit être déclaré irrecevable, ce qui ressort de la compétence du Juge délégué de la cour de céans (art. 43 al. 1 let. b CDPJ [Code de droit privé judiciaire vaudois, BLV 211.02]). L’appelant précise dans son appel qu’il n’aurait pas été en mesure « de trouver un avocat » et qu’il ne pourrait pas se permettre les frais de justice. A considérer cette conclusion comme une requête d’assistance judiciaire, elle serait dans tous les cas rendue sans objet compte tenu de l’irrecevabilité de l’appel.</w:t>
      </w:r>
    </w:p>
    <w:p>
      <w:r>
        <w:t>- 6 - Le présent arrêt peut être rendu sans frais judiciaires (art. 11 TFJC [tarif des frais judiciaires civils du 28 septembre 2010 ; BLV 270.11.5]). Il n’y a pas lieu à allocation de dépens, l’intimée n’ayant pas été invitée à se déterminer. Par ces motifs, le Juge délégué de la Cour d’appel civile prononce : I. L’appel est irrecevable. II. L’arrêt, rendu sans frais judiciaires de deuxième instance, est exécutoire. Le juge délégué : Le greffier : Du Le présent arrêt, dont la rédaction a été approuvée à huis clos, est notifié à : - A.R.________, - Me Alain Berger (pour B.R.________),</w:t>
      </w:r>
    </w:p>
    <w:p>
      <w:r>
        <w:t>- 7 -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