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TD16.051849 vom 25. Juni 2019</w:t>
      </w:r>
    </w:p>
    <w:p>
      <w:r>
        <w:t>VD Tribunal cantonal, 2019-06-25, FR</w:t>
      </w:r>
    </w:p>
    <w:p>
      <w:r>
        <w:rPr>
          <w:b/>
        </w:rPr>
        <w:t xml:space="preserve">Quelle: </w:t>
      </w:r>
      <w:r>
        <w:t>https://mcp.opencaselaw.ch/entscheid/vd_gerichte_TD16.051849</w:t>
      </w:r>
    </w:p>
    <w:p>
      <w:r>
        <w:t>FR: VD_GERICHTE TD16.051849 du 25 juin 2019</w:t>
      </w:r>
    </w:p>
    <w:p>
      <w:r>
        <w:t>IT: VD_GERICHTE TD16.051849 del 25 giugno 2019</w:t>
      </w:r>
    </w:p>
    <w:p>
      <w:pPr>
        <w:pStyle w:val="Heading2"/>
      </w:pPr>
      <w:r>
        <w:t>Erwägungen</w:t>
      </w:r>
    </w:p>
    <w:p>
      <w:r>
        <w:rPr>
          <w:b/>
        </w:rPr>
        <w:t>E. 43</w:t>
      </w:r>
    </w:p>
    <w:p>
      <w:r>
        <w:t>et les réf. citées). En revanche, lorsqu’il y lieu de trancher des questions relatives aux enfants, lesquelles sont soumises à la maxime inquisitoire</w:t>
      </w:r>
    </w:p>
    <w:p>
      <w:r>
        <w:t>- 14 - illimitée (art. 296 al. 1 CPC), les parties peuvent présenter des nova en appel même si les conditions de l'art. 317 al. 1 CPC ne sont pas réunies (ATF 144 III 349 consid. 4.2.1). 2.2.2 En l’espèce, il y a lieu de s’en tenir au cadre strict délimité par la loi, le litige ne portant pas sur le sort d’enfants mineurs. L’appelant a produit deux nouvelles pièces à l’appui de son appel, soit un décompte final complémentaire et un relevé de compte relatifs à l’impôt 2017 le concernant, faisant état d’un montant de 16'908 fr. 05. Dans la mesure où ces pièces sont datées du 21 février 2019 (soit une date postérieure à l’audience du 28 août 2018), il s’agit de vrais nova, de sorte qu’elles sont recevables. Il a ainsi été tenu compte du montant mensuel de 1'408 fr. 50 (16'908 fr. 50 : 12) à titre d’impôt dans les charges de l’appelant (cf. let. C/8bb supra). 3. 3.1 L'appelant soutient que l'intimée disposerait d'une situation professionnelle stable qui lui permettrait de vivre correctement de façon parfaitement indépendante, de sorte qu'il conviendrait de n'attribuer aucune contribution d'entretien en application du principe du "clean break". 3.2 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w:t>
      </w:r>
    </w:p>
    <w:p>
      <w:r>
        <w:t>- 15 -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w:t>
      </w:r>
    </w:p>
    <w:p>
      <w:r>
        <w:t>- 16 -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 3.3 En l'espèce, les premier juges ont considéré que l'organisation adoptée par les parties durant la vie commune avait indéniablement conduit à privilégier la carrière de l’appelant et à diminuer l'indépendance économique ou, à tout le moins, les possibilités d'avancement et d'amélioration des gains de l’intimée. Ils ont dès lors admis que le mariage avait eu une influence décisive sur les conditions d'existence de l'intimée. Cette appréciation peut être confirmée. La vie commune a duré plus de vingt ans et deux enfants sont issus de ce mariage. L'intimée, qui était au bénéfice d'un diplôme d'ingénieur en mécanique de précision au moment du mariage, n'a travaillé, à des taux d'activité variables, que</w:t>
      </w:r>
    </w:p>
    <w:p>
      <w:r>
        <w:t>- 17 - dans des domaines externes à sa formation, afin de pouvoir se consacrer aux soins à apporter aux enfants et au ménage. Il importe peu qu'il y ait eu une progression dans les fonctions qu'elle a occupées (travaux de couture, opérateur, technicien puis collaborateur de qualité et enfin comptable). Dans tous les cas, en raison de ce parcours peu linéaire, dû aux sacrifices professionnels que l'intimée a consentis, les possibilités d'avancement et d'évolution de carrière que cette dernière pouvait espérer comme ingénieur en mécanique de précision n'ont pas pu être réalisées, l'intimée devant en définitive se contenter d'un revenu mensuel net de l'ordre de 5'000 fr., comme comptable. Il est patent que le mariage a eu une influence décisive sur les conditions d'existence de l'intimée. 4. L’appelant reproche ensuite au tribunal d’avoir retenu des montants « inexacts ou mal appréciés ». 4.1 4.1.1 L'appelant fait tout d’abord valoir que son salaire mensuel net serait de 10'074 fr. par mois et non de 11'780 fr. comme retenu par les premiers juges. Il n’y aurait en particulier pas lieu de tenir compte d'un bonus totalement aléatoire et les premiers juges auraient ajouté les allocations familiales au lieu de les déduire. 4.1.2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TF 5A_511/2010 du 4 février 2011 consid. 3 ; TF 5A 470/2016 du 13 décembre 2016 consid. 6.1.2).</w:t>
      </w:r>
    </w:p>
    <w:p>
      <w:r>
        <w:t>- 18 - Quant au revenu net effectif, il comprend non seulement la part fixe du salaire, mais aussi les commissions, gratifications, bonus, honoraires d'administrateur ou de délégué, ou encore les pourboires effectivement versés. Le fait qu'un bonus dépende des objectifs atteints par le travailleur ou du résultat de l'entreprise et ne soit pas garanti ne s'oppose pas à la qualification comme salaire (TF 5A 686/2010 du 6 décembre 2010, FamPra.ch 2011 p. 483).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TF 5A_745/2015 du 15 juin 2016 consid. 12.2.2). 4.1.3 En l’espèce, il résulte du certificat de salaire 2017 que le salaire brut s'est élevé à 137'847 fr., auquel s’ajoutent un bonus de 9'038 fr. et une participation aux primes d'assurance maladie de 5'196 fr., soit à un total brut de 152'081 fr. et net de 135'067 francs. Ce montant englobe les allocations familiales d'un montant de 7'920 fr., selon l’annexe au certificat de salaire et la lettre de [...] du 26 mars 2018. Les premiers juges, qui ont relevé à juste titre qu'il y avait lieu de déduire les allocations, semblent en réalité les avoir ajoutées à tort au salaire net de 135'067 fr., puisqu’ils ont retenu un salaire annuel net de 141'381 francs. S’agissant du bonus, il s'est élevé à 8'054 fr. en 2015, à 6'915 fr. en 2016 et à 9'038 fr. en 2017, soit à une moyenne de 8'002 fr. que l'on retiendra, au lieu des 9'038 fr. admis par les premiers juges, ce qui correspond à une différence de 1'036 francs. La capacité contributive, par rapport au montant net de 135'067 fr. résultant du certificat de salaire 2017, doit ainsi être réduite de 8'956 fr. (7'920 fr. + 1'036 fr.) et s'établit à 126'111 fr. par an, soit au montant arrondi de 10'509 fr. par mois.</w:t>
      </w:r>
    </w:p>
    <w:p>
      <w:r>
        <w:t>- 19 - 4.2 L'appelant fait valoir que sa charge d'impôt s'élèverait à 1'408 fr. 50 (16'908 fr. 50 : 12) par mois, ce que l'on doit admettre au vu des pièces nouvelles produites, qui sont recevables (cf. consid. 2.2.2 supra). Cela représente une différence de 103 fr. par rapport au montant retenu par le tribunal à ce titre. L’état de fait a été modifié sur ce point. Les charges de l’appelant, pensions provisionnelles par 3'600 fr. non comprises, s’élèvent donc à un total de 5'201 fr. 40 au lieu des 5'098 fr. 40 admis dans le jugement, les autres charges de l’appelant, telles que retenues par le tribunal, n’étant pas contestées. Or l'augmentation – minime – de 103 fr. de la charge fiscale est sans conséquence sur le sort du litige (cf. consid. 5 infra). 4.3 4.3.1 L'appelant conteste la charge de loyer de 2'380 fr. de l'intimée qu'il juge excessive, dès lors qu'il n'y aurait aucune nécessité pour elle de vivre dans un quatre pièces. Cette charge devrait être réduite à sa propre charge de loyer de 2'050 fr., ce qui correspondrait à une diminution de 340 fr. par mois. 4.3.2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Il n'y a pas lieu de retenir une violation du principe de l'égalité de traitement lorsque le loyer d'un époux est nettement inférieur à celui de l'autre époux, en l'espèce moins de la moitié du loyer de l'autre époux qui a cependant un enfant à sa charge (TF 5A_319/2011 du 20 septembre 2011 consid. 2.1.3). Il n'y a en effet pas lieu de retenir un montant</w:t>
      </w:r>
    </w:p>
    <w:p>
      <w:r>
        <w:t>- 20 - semblable de loyer pour les deux époux au nom de l'égalité de traitement, la situation effective devant en principe prévaloir (TF 5A_433/2013 du 10 décembre 2013 consid. 4.3). 4.3.3 En l'espèce, il est justifié que l'intimée bénéficie d'un logement plus grand, dès lors que ses enfants majeurs F.________ et S.________, qui sont étudiants, habitent avec elle. L'appelant allègue certes que la fille aînée viendrait de signer un bail en son nom dès le mois de mai 2019, mais ne l'établit pas. Il ne conteste par ailleurs pas que le cadet vive toujours avec sa mère. Dans ces circonstances, il n'y a pas lieu de déroger au principe du loyer effectif, la différence entre les deux loyers étant au demeurant relativement modeste. 4.4 L'appelant fait encore valoir que le découvert mensuel de l'intimée devrait être arrondi à 800 fr. et non à 900 francs. Le salaire net de l'intimée est de 5'012 fr. 80 et ses charges de 5'833 fr. 80, de sorte que le découvert est de 821 francs. Cela étant, en arrondissant à 900 fr. ce découvert, les premiers juges n'ont pas mésusé de leur pouvoir d'appréciation, étant relevé que certaines charges ont été estimées (entretien de véhicule, frais d'essence ou loisirs par exemple) et auraient légitimement pu l'être à quelques dizaines de francs de plus. 5. Les premiers juges ont considéré que, vu la situation financière favorable des parties, il n'y avait pas lieu d'appliquer la méthode du minimum vital avec répartition de l'excédent et ont considéré que les charges de l'intimée constituaient le montant nécessaire pour lui permettre de conserver un train de vie comparable à celui qu'elle avait pendant la vie commune, ce qui n'est pas contesté en appel. Même en tenant compte des revenus et charges rectifiés de l'appelant (cf. supra consid. 4.1.3 et 4.2), celui-ci bénéficie d'un disponible de 5'307 fr. 40 (10'509 fr. – 5'201 fr. 40), respectivement de 1'707 fr. 60 si l’on prend en considération les pensions provisionnelles par 3'600 fr., ce qui lui permet toujours manifestement de couvrir le manco de 900 fr. de l'intimée.</w:t>
      </w:r>
    </w:p>
    <w:p>
      <w:r>
        <w:t>- 21 - 6. Il résulte de ce qui précède que l'appel doit être rejeté et le jugement confirmé dans son résultat. Vu l’issue du litige, les frais judiciaires de deuxième instance, arrêtés à 600 fr. (art. 63 al. 1 TFJC [Tarif des frais judiciaires civils du 28 septembre 2010 ; RSV 270.11.5]), doivent être mis à la charge de l’appelant (art. 106 al. 1 CPC). 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