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TD16.044402 vom 5. Februar 2020</w:t>
      </w:r>
    </w:p>
    <w:p>
      <w:r>
        <w:t>VD Tribunal cantonal, 2020-02-05, FR</w:t>
      </w:r>
    </w:p>
    <w:p>
      <w:r>
        <w:rPr>
          <w:b/>
        </w:rPr>
        <w:t xml:space="preserve">Quelle: </w:t>
      </w:r>
      <w:r>
        <w:t>https://mcp.opencaselaw.ch/entscheid/vd_gerichte_TD16.044402</w:t>
      </w:r>
    </w:p>
    <w:p>
      <w:r>
        <w:t>FR: VD_GERICHTE TD16.044402 du 5 février 2020</w:t>
      </w:r>
    </w:p>
    <w:p>
      <w:r>
        <w:t>IT: VD_GERICHTE TD16.044402 del 5 febbraio 2020</w:t>
      </w:r>
    </w:p>
    <w:p>
      <w:pPr>
        <w:pStyle w:val="Heading2"/>
      </w:pPr>
      <w:r>
        <w:t>Erwägungen</w:t>
      </w:r>
    </w:p>
    <w:p>
      <w:r>
        <w:rPr>
          <w:b/>
        </w:rPr>
        <w:t>E. 3</w:t>
      </w:r>
    </w:p>
    <w:p>
      <w:r>
        <w:t>octobre 2019, font état du comportement violent de B.I.________ envers sa mère, que l'enfant explique par son souhait de vivre auprès de son père. La mère a ainsi procédé à la régulation des conversations téléphoniques entre les enfants et leur père, nécessaire selon le SPJ au regard des comportements violents des enfants à l'endroit de leur mère, suite à ces conversations. Le SPJ relève que la collaboration avec le père des enfants reste compliquée, celui-ci ne répondant pas aux demandes d'entretien de l'autorité. Le père n'a en outre pas honoré entièrement son droit de visite, plus particulièrement durant les vacances d'été. Il a rencontré B.I.________ en dehors de ce droit de visite et sans en avertir la mère, allant même à une reprise jusqu'à tenir des propos dénigrants et menaçants envers cette dernière en présence de B.I.________. Le SPJ relève encore que B.I.________ est suivi par un pédopsychiatre depuis la rentrée scolaire 2019, et qu'au niveau scolaire, l'évolution des trois enfants est positive. Le travail de la mère des enfants avec l'éducateur de l'AEMO se poursuit, de sorte que la mère bénéficie d'un regard extérieur lui offrant du soutien dans son rôle parental et dans les réponses éducatives apportées aux enfants. 3.4.3 L'appelant s'appuie encore dans son appel sur le jugement du Tribunal de police du 17 décembre 2018, dont on ne saurait faire abstraction dans l'examen des circonstances du cas d'espèce. Le Tribunal de police a retenu, en définitive, que la mère avait infligé à son fils B.I.________ des gifles régulières – dont l'intensité ne pouvait être déterminée –, l'avait pris par le bras en lui occasionnant des marques indéterminées, l'avait frappé au niveau de la tête – sans que l'intensité ne puisse être déterminée – et lui avait infligé une fessée qui avait occasionné des hématomes. Selon le tribunal, les faits dont l'intensité</w:t>
      </w:r>
    </w:p>
    <w:p>
      <w:r>
        <w:t>- 39 - n'avait pu être déterminée étaient constitutifs de voies de faits qualifiées, qui étaient prescrites car le dernier acte remontait au 14 août 2015, alors que la fessée administrée entre le 1er et le 11 août 2015, qui avait provoqué des hématomes, réalisait les conditions de l'infraction de lésions corporelles simples qualifiées, pour lesquelles une peine pécuniaire de 15 jours-amende à 50 fr. le jour, avec sursis durant deux ans, avait été prononcée. L'appelant ne saurait cependant rien tirer en sa faveur de ce qui précède, dès lors que les faits remontent, pour les derniers d'entre eux, au mois d'août 2015, alors que le conflit conjugal et parental était au plus vif, et que, depuis lors, l'enfant B.I.________ a été placé, avec succès quant à son développement puisqu'il a réintégré l'école publique en 2018, aucun autre élément du dossier ne permettant de retenir un quelconque danger encouru par les enfants, singulièrement par B.I.________. En particulier, le bilan de l'action socio-éducative pour l'année 2017 établi par le SPJ au printemps 2018 relève qu'à la demande du père de l'enfant, un rapport de l'Hôpital de l'Enfance avait été établi en septembre 2017, décrivant un bon état physique général de B.I.________, le suivi thérapeutique de celui-ci ayant pris fin en raison de la non-adhésion du père. Les informations complémentaires du SPJ du 3 octobre 2019 ne font pas état de maltraitance, mais relèvent le suivi de B.I.________ par un pédopsychiatre, l'évolution positive des trois enfants au niveau scolaire et le soutien apporté par l'éducateur AEMO à la mère. Quant à l'audition de l'enfant B.I.________ par la juge déléguée, elle n'a pas non plus permis de constater une quelconque maltraitance par la mère, B.I.________ s'étant borné à relever que sa mère avait installé le contrôle parental pour la télévision et les jeux vidéo. Partant, compte tenu de ce qui précède, il n'y a pas lieu de s'écarter de la décision des premiers juges, l'attribution exclusive de l'autorité parentale sur les enfants B.I.________, C.I.________ et D.I.________ à S.________ devant être confirmée.</w:t>
      </w:r>
    </w:p>
    <w:p>
      <w:r>
        <w:t>- 40 -</w:t>
      </w:r>
    </w:p>
    <w:p>
      <w:r>
        <w:rPr>
          <w:b/>
        </w:rPr>
        <w:t>E. 3.5</w:t>
      </w:r>
    </w:p>
    <w:p>
      <w:r>
        <w:t>Dans la mesure où l'appelant s'en prend à l'attribution de la garde à la mère – la détermination du lieu de résidence faisant partie de l'autorité parentale et la garde de fait étant le soin et l'éducation au quotidien –, il y a lieu de relever que, contrairement à ce qu'il soutient, l'intégrité physique des enfants n'est pas en danger auprès de leur mère ensuite du jugement pénal rendu (cf. consid. 3.4.3 supra) ; il en va de même des angoisses de B.I.________, que le père attribue à la prétendue agressivité de l'intimée, alors même qu'aucun élément ne permet de penser que celle-ci aurait eu des comportements inadéquats envers ses enfants depuis l'été 2015, étant encore relevé que le père est bien malvenu de mentionner l'absence d'expertise effectuée sur son fils, dès lors qu'il n'a jamais encouragé sa prise en charge thérapeutique. Par ailleurs, le développement de B.I.________ est positif au vu du bilan de l'action socio-éducative du SPJ pour l'année 2017, de l'audition de l'assistance sociale le 26 septembre 2018 par les premiers juges et des informations complémentaires relatées le 3 octobre 2019 par ce service. En outre, les enfants ont toujours résidé chez leur mère, qui n'a pas démérité, compte tenu des circonstances difficiles dans lesquelles elle a été amenée à travailler tout en s'occupant de ses trois enfants, dont l'un au moins présente des problèmes de comportement importants, tout en sollicitant de l'aide auprès d'un psychiatre et de l'AEMO. Il faut encore rappeler que lorsque les enfants sont auprès de leur père, ils dorment tous les trois dans la même chambre, le père ayant en outre indiqué qu'il exerçait son droit de visite en France, auprès de sa mère ou de ses sœurs, en raison de ses revenus limités. La situation financière de A.I.________ apparaît du reste comme ambiguë, dès lors qu'il dit vouloir emmener les enfants en vacances dans son pays d'origine alors qu'il manque de moyens pour un exercice plus confortable du droit de visite. Au demeurant, l'appelant ne conteste pas exercer son droit de visite de manière très sporadique, sans prétendre que l'intimée en serait responsable, de sorte qu'on ne peut pas sérieusement envisager qu'il soit en mesure de prendre en charge ses trois enfants au quotidien, surtout s'agissant de B.I.________, qui est un enfant ayant besoin d'un encadrement particulier, à savoir notamment un suivi par un logopédiste et un pédopsychiatre, ainsi que d'un programme scolaire aménagé en</w:t>
      </w:r>
    </w:p>
    <w:p>
      <w:r>
        <w:t>- 41 - fonction de ses difficultés. Il semble à cet égard que le père investisse davantage la relation avec B.I.________ – qu'il voit parfois sans l'accord de l'intimée, ce qui n'est pas possible en l'état, au regard du conflit parental aigu notamment à ce sujet –, au détriment de celle avec ses deux autres enfants. Quoi qu'il en soit, le critère de la stabilité et, accessoirement, le manque de confort des enfants chez leur père préconisent de maintenir l'attribution de la garde de fait à la mère. Il ressort au demeurant du procès-verbal d'audition de B.I.________ que celui-ci – contrairement à ce que soutient le père – ne souffre pas de l'organisation du travail de la mère en rentrant de l'école (cf. chiffre B/d supra).</w:t>
      </w:r>
    </w:p>
    <w:p>
      <w:r>
        <w:rPr>
          <w:b/>
        </w:rPr>
        <w:t>E. 4.1</w:t>
      </w:r>
    </w:p>
    <w:p>
      <w:r>
        <w:t>L'appelant conteste également le fait que les premiers juges aient dérogé au principe du partage par moitié des avoirs LPP accumulés durant le mariage.</w:t>
      </w:r>
    </w:p>
    <w:p>
      <w:r>
        <w:rPr>
          <w:b/>
        </w:rPr>
        <w:t>E. 4.2</w:t>
      </w:r>
    </w:p>
    <w:p>
      <w:r>
        <w:t>Les nouveaux art. 122 ss CC, qui s’inscrivent dans le chapitre consacré aux effets du divorce, sont applicables aux procès en divorce pendants dès leur entrée en vigueur le 1er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124b al. 2 ch. 1 CC permet toutefois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w:t>
      </w:r>
    </w:p>
    <w:p>
      <w:r>
        <w:t>- 42 - le cas, comme en l’espèce, où le conjoint concerné n’a pas encore atteint l’âge règlementaire de la retraite au moment de l’introduction de la procédure de divorce.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Basler Kommentar, 6e éd.,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 Komm., Scheidung, 3e éd, n. 14 ad art. 124b CC). Est ainsi cité le cas d’un époux avocat indépendant disposant d’un très bon troisième pilier, dont l’épouse ne profite pas en raison du régime de la séparation de biens adopté par les parties, alors que cette dernière est employée et devrait partager son deuxième pilier (Geiser, op. cit., n. 19 ad art. 124b CC). Selon le Message du Conseil fédéral concernant la révision du Code civil suisse (partage de la prévoyance professionnelle en cas de divorce), les besoins de prévoyance figurant au ch. 2 de l’art. 124b al. 2 CC comme raison possible de s'écarter du partage par moitié pourraient être inclus dans la situation économique des époux et par conséquent être couverts par le ch. 1. Mais la nouvelle règle du partage des prétentions après la survenance d'un cas de prévoyance pourrait, notamment eu égard aux besoins de prévoyance, entraîner une multiplication des</w:t>
      </w:r>
    </w:p>
    <w:p>
      <w:r>
        <w:t>- 43 - situations inéquitables si aucune exception n'était faite au partage par moitié. Là aussi, le partage est inéquitable lorsque l'un des époux subit des désavantages flagrants par rapport à l'autre conjoint.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Il peut également être justifié de déroger au partage par moitié lorsque les deux époux ont des revenus et des prestations de vieillesse futures comparables, mais ont constitué des avoirs de niveaux très différents durant le mariage du fait qu'ils ont une grande différence d'âge (FF 2013, p. 4371).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Alors que l'avant-projet de modification du Code civil disposait, tout comme l'ancien art. 123 al. 2 CC, que le juge refuse le partage par moitié, en tout ou partie, lorsque celui-ci s'avère manifestement inéquitable (art. 122 al. 2 aCC), le nouvel art. 124b al. 2 CC ne mentionne finalement que le terme inéquitable, ceci afin de laisser une plus grande marge d'interprétation au juge (FF 2013, pp. 4352 et 4370 ; ATF 145 III 56 consid. 5.3.2). Dans son Message, le Conseil fédéral souligne toutefois qu'il conviendra de veiller à ce que l'application de l'art. 124b al. 2 CC ne vide pas de sa substance le principe du partage par moitié (FF 2013, p. 4371), le partage de la prévoyance professionnelle devant, dans l'idéal, permettre aux deux conjoints de disposer d'un avoir de prévoyance de qualité égale (FF 2013, p. 4349). Ces principes ont été conçus pour être</w:t>
      </w:r>
    </w:p>
    <w:p>
      <w:r>
        <w:t>- 44 - appliqués indépendamment de la répartition des tâches convenue durant le mariage (ATF 145 III 56 consid. 5.3.2).</w:t>
      </w:r>
    </w:p>
    <w:p>
      <w:r>
        <w:rPr>
          <w:b/>
        </w:rPr>
        <w:t>E. 4.3</w:t>
      </w:r>
    </w:p>
    <w:p>
      <w:r>
        <w:t>En l'espèce, les premiers juges ont retenu que les avoirs LPP de l'intimée s'élevaient à 54'275 fr. 35 alors que ceux de l'appelant s'élevaient à 15'107 fr. 81, mais que la répartition par moitié serait inéquitable. En effet, lors de son interrogatoire le 26 septembre 2018, l'appelant avait admis avoir effectué des investissements au Cameroun avec son salaire, l'instruction n'ayant cependant pas permis d'établir leur montant exact. Partant l'intimée n'a pas pu conclure à une quelconque prétention de ce chef. Dans ces circonstances, le tribunal a refusé le partage par moitié. Il n'y a pas lieu de s'écarter du jugement à cet égard. L'appelant allègue, sans l'établir et de manière non convaincante, qu'il aurait investi la somme de 5'000 fr. dans deux terrains au Cameroun, mais qu'il n'aurait jamais été inscrit en tant que propriétaire de ces terrains au registre foncier local pour des raisons indépendantes de sa volonté, de sorte que ces investissements devraient être traités comme une moins- value sur un immeuble ou comme un mauvais placement en bourse. Ses déclarations n'ont pas la portée qu'il entend leur donner. Au surplus, dès lors que l'appelant, certes encore en formation, n'a jamais contribué à l'entretien des siens, la solution retenue est d'autant plus équitable.</w:t>
      </w:r>
    </w:p>
    <w:p>
      <w:r>
        <w:rPr>
          <w:b/>
        </w:rPr>
        <w:t>E. 5.1</w:t>
      </w:r>
    </w:p>
    <w:p>
      <w:r>
        <w:t>En définitive, l'appel doit être rejeté et le jugement entrepris confirmé.</w:t>
      </w:r>
    </w:p>
    <w:p>
      <w:r>
        <w:rPr>
          <w:b/>
        </w:rPr>
        <w:t>E. 5.2</w:t>
      </w:r>
    </w:p>
    <w:p>
      <w:r>
        <w:t>Les frais judiciaires de deuxième instance, arrêtés à 600 fr. (art. 63 al. 1 TFJC [tarif des frais judiciaires civils du 28 septembre 2010, BLV 270.11.5]) pour A.I.________, qui succombe (art. 106 al. 1 CPC), seront provisoirement laissés à la charge de l'Etat, l'appelant étant au bénéfice de l'assistance judiciaire (art. 122 al. 1 let. b CPC).</w:t>
      </w:r>
    </w:p>
    <w:p>
      <w:r>
        <w:t>- 45 -</w:t>
      </w:r>
    </w:p>
    <w:p>
      <w:r>
        <w:rPr>
          <w:b/>
        </w:rPr>
        <w:t>E. 5.3</w:t>
      </w:r>
    </w:p>
    <w:p>
      <w:r>
        <w:t>Me Laurent Fischer, conseil d’office de l'appelant, doit être rémunéré pour les opérations réalisées dans le cadre de la procédure de deuxième instance. Dans sa liste des opérations du 20 novembre 2019, il indique avoir consacré 20 heures et 45 minutes à la procédure de deuxième instance et requiert l'allocation de débours forfaitaires à hauteur de 5 %. Néanmoins, compte tenu de la connaissance préalable du dossier, de la nature de la cause et de ses difficultés relatives en fait et en droit ainsi que des opérations effectuées par l'avocat, le temps annoncé est manifestement excessif, étant précisé que la liste des opérations produites se borne à recenser les opérations effectuées, sans indiquer le temps consacré à chacune de celles-ci. Par conséquent, il y a lieu de considérer qu'une indemnité correspondant à 14 heures au total, au tarif horaire de 180 fr. hors TVA (art. 2 al. 1 let. a RAJ [règlement sur l’assistance judiciaire en matière civile du</w:t>
      </w:r>
    </w:p>
    <w:p>
      <w:r>
        <w:rPr>
          <w:b/>
        </w:rPr>
        <w:t>E. 5.4</w:t>
      </w:r>
    </w:p>
    <w:p>
      <w:r>
        <w:t>Dans sa liste des opérations du 20 décembre 2018, Me Charlotte Iselin, conseil d’office de l’intimée, indique avoir consacré 13 heures et 20 minutes à la procédure d’appel, dont 5 minutes ont été effectuées par une avocate-stagiaire. Elle annonce également des débours forfaitaires à hauteur de 2 % du total de ses opérations. Partant, en considération de la difficulté de la cause ainsi que des opérations effectuées par Me Iselin, il y a lieu d'admettre le temps annoncé. Il s’ensuit que l’indemnité de Me Iselin peut être arrêtée, pour la procédure d’appel, au tarif horaire de 180 fr. (art. 2 al. 1 let. a RAJ) pour les opérations qu’elle a effectuées et de 110 fr. pour les opérations effectuées par son avocate- stagiaire (art. 2 al. 1 let. b RAJ), à 2'394 fr. 15 (2'385 fr. [13 h 15 x 180 fr.] + 9 fr. 15 [5 min. x 110 fr.]), montant auquel il faut ajouter les débours</w:t>
      </w:r>
    </w:p>
    <w:p>
      <w:r>
        <w:t>- 46 - forfaitaires de 47 fr. 90 (2'394 fr. 15 x 2 %) et la TVA de 7,7 % sur le tout, par 188 fr. 05, ce qui donne un total de 2'630 fr. 10.</w:t>
      </w:r>
    </w:p>
    <w:p>
      <w:r>
        <w:rPr>
          <w:b/>
        </w:rPr>
        <w:t>E. 5.5</w:t>
      </w:r>
    </w:p>
    <w:p>
      <w:r>
        <w:t>Dans la mesure de l’art. 123 CPC, les bénéficiaires de l’assistance judiciaire seront tenus au remboursement des frais judiciaires et des indemnités aux conseils d’office mis provisoirement à la charge de l’Etat.</w:t>
      </w:r>
    </w:p>
    <w:p>
      <w:r>
        <w:rPr>
          <w:b/>
        </w:rPr>
        <w:t>E. 5.6</w:t>
      </w:r>
    </w:p>
    <w:p>
      <w:r>
        <w:t>Compte tenu de ce que l'appelant succombe entièrement, celui-ci devra verser à l'intimée la somme de 4'200 fr. à titre de dépens de deuxième instance (art. 7 TDC [tarif des dépens en matière civile du 23 novembre 2010 ; BLV 270.11.6])</w:t>
      </w:r>
    </w:p>
    <w:p>
      <w:r>
        <w:rPr>
          <w:b/>
        </w:rPr>
        <w:t>E. 7</w:t>
      </w:r>
    </w:p>
    <w:p>
      <w:r>
        <w:t>décembre 2010 ; BLV 211.02.03]), apparaît adéquate au regard des opérations effectuées. L’indemnité d’office due à Me Fischer doit ainsi être arrêtée à 2'520 fr. pour ses honoraires, auquel s'ajoutent 50 fr. 40 de débours (2'520 X 2 % [art. 3bis al. 1 RAJ, en vigueur depuis le 1er mai 2019), ainsi que la TVA au taux de 7.7% sur l’ensemble, soit 197 fr. 90 (7.7% x 2'570 fr. 40), pour un total de 2'768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