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TD16.043332 vom 3. Januar 2018</w:t>
      </w:r>
    </w:p>
    <w:p>
      <w:r>
        <w:t>VD Tribunal cantonal, 2018-01-03, FR</w:t>
      </w:r>
    </w:p>
    <w:p>
      <w:r>
        <w:rPr>
          <w:b/>
        </w:rPr>
        <w:t xml:space="preserve">Quelle: </w:t>
      </w:r>
      <w:r>
        <w:t>https://mcp.opencaselaw.ch/entscheid/vd_gerichte_TD16.043332</w:t>
      </w:r>
    </w:p>
    <w:p>
      <w:r>
        <w:t>FR: VD_GERICHTE TD16.043332 du 3 janvier 2018</w:t>
      </w:r>
    </w:p>
    <w:p>
      <w:r>
        <w:t>IT: VD_GERICHTE TD16.043332 del 3 gennaio 2018</w:t>
      </w:r>
    </w:p>
    <w:p>
      <w:pPr>
        <w:pStyle w:val="Heading2"/>
      </w:pPr>
      <w:r>
        <w:t>Erwägungen</w:t>
      </w:r>
    </w:p>
    <w:p>
      <w:r>
        <w:rPr>
          <w:b/>
        </w:rPr>
        <w:t>E. 10</w:t>
      </w:r>
    </w:p>
    <w:p>
      <w:r>
        <w:t>Compte tenu de ce qui précède, l’appel doit être rejeté et l’ordonnance confirmée. Les frais judiciaires de deuxième instance, fixés à 600 fr. (art. TFJC), seront mis à la charge de l’appelant, qui succombe (art. 106 al. 1 CPC). L’appelant versera un montant de 3'500 fr. à l’intimée à titre de pleins dépens, étant rappelé que la procédure d’appel a donné lieu à deux longues audiences.</w:t>
      </w:r>
    </w:p>
    <w:p>
      <w:r>
        <w:t>- 19 - Par ces motifs, la juge déléguée de la Cour d’appel civile prononce : I. L’appel est rejeté. II. L’ordonnance est confirmée. III. Les frais judiciaires de deuxième instance, fixés à 600 fr. (six cents francs), sont mis à la charge de l’appelant B.________. IV. L’appelant B.________ doit verser à l’intimée P.________ le montant de 3'500 fr. (trois mille cinq cents francs) à titre de dépens de deuxième instance. V. L’arrêt est exécutoire. La juge déléguée : La greffière : Du Le présent arrêt, dont la rédaction a été approuvée à huis clos, est notifié en expédition complète à : - Me Bertrand Demierre (pour B.________), - Me Henri Bercher (pour P.________),</w:t>
      </w:r>
    </w:p>
    <w:p>
      <w:r>
        <w:t>- 20 -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