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TD16.036801 vom 28. Dezember 2016</w:t>
      </w:r>
    </w:p>
    <w:p>
      <w:r>
        <w:t>VD Tribunal cantonal, 2016-12-28, FR</w:t>
      </w:r>
    </w:p>
    <w:p>
      <w:r>
        <w:rPr>
          <w:b/>
        </w:rPr>
        <w:t xml:space="preserve">Quelle: </w:t>
      </w:r>
      <w:r>
        <w:t>https://mcp.opencaselaw.ch/entscheid/vd_gerichte_TD16.036801</w:t>
      </w:r>
    </w:p>
    <w:p>
      <w:r>
        <w:t>FR: VD_GERICHTE TD16.036801 du 28 décembre 2016</w:t>
      </w:r>
    </w:p>
    <w:p>
      <w:r>
        <w:t>IT: VD_GERICHTE TD16.036801 del 28 dicembre 2016</w:t>
      </w:r>
    </w:p>
    <w:p>
      <w:pPr>
        <w:pStyle w:val="Heading2"/>
      </w:pPr>
      <w:r>
        <w:t>Erwägungen</w:t>
      </w:r>
    </w:p>
    <w:p>
      <w:r>
        <w:rPr>
          <w:b/>
        </w:rPr>
        <w:t>E. 3.1</w:t>
      </w:r>
    </w:p>
    <w:p>
      <w:r>
        <w:t>L’appelant conteste la solution à laquelle est parvenue le premier juge en tant qu’elle ne tiendrait pas compte d’une modification notable et durable des circonstances, qui commandait de supprimer la contribution d’entretien à laquelle il est astreint.</w:t>
      </w:r>
    </w:p>
    <w:p>
      <w:r>
        <w:rPr>
          <w:b/>
        </w:rPr>
        <w:t>E. 3.2</w:t>
      </w:r>
    </w:p>
    <w:p>
      <w:r>
        <w:t>Une fois que des mesures protectrices de l’union conjugale ou des mesures provisionnelles dans la procédure de divorce ont été ordonnées, elles ne peuvent être modifiées qu’aux conditions de l’art. 179 CC (applicable directement pour les premières, par renvoi de l’art. 276 al. 1 CPC pour les secondes).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w:t>
      </w:r>
    </w:p>
    <w:p>
      <w:r>
        <w:t>- 10 -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5A_720/2011 du 8 mars 2012 consid. 4.1.2 et les réf. citées ; TF 5A_811/2012 du 18 février 2013 consid. 3.2 et les réf. citées). Le fait revêt un caractère nouveau lorsqu'il n'a pas été pris en considération pour fixer la contribution d'entretien dans le jugement précédent (ATF 137 III 604 consid. 4.1.1 ; ATF 131 III 189 consid. 2.7.4 ; TF 5A_829/2012 du 7 mai 2013). Il n'est donc pas décisif qu'il ait été imprévisible à ce moment-là. On présume néanmoins que la contribution d'entretien a été fixée en tenant compte des modifications prévisibles, soit celles qui, bien que futures, sont déjà certaines ou fort probables (ATF 131 III 189 consid. 2.7.4 ; TF 5A_845/2010 du 12 avril 2011 consid. 4.1 ; TF 5A_15/2014 du 28 juillet 2014 consid. 3 ; TF 5A_33/2015 du 28 avril 2015 consid. 4.1 ; Juge délégué CACI 19 octobre 2015/542 consid. 3.2.1). En revanche, les parties ne peuvent pas invoquer, pour fonder leur requête en modification, une mauvaise appréciation des circonstances initiales, que le motif relève du droit ou de l’établissement des faits allégués sur la base des preuves déjà offertes (TF 5A_33/2015 du 28 avril 2015 consid. 4.1 ; TF 5A_618/2009 du 14 décembre 2009 consid. 3.2.2). Pour faire valoir de tels motifs, seules les voies de recours sont ouvertes (TF 5A_324/2012 du 15 août 2012 consid. 5 ; TF 5A_400/2012 du 25 février 2013 consid. 4.1 et les réf. citées ; sur le tout : TF 5A_153/2013 du 24 juillet 2013 consid. 2.1 et TF 5A_245/2013 du 24 septembre 2013 consid. 3.1). Il appartient à celui qui demande la modification d’apporter la preuve de l’importance et du caractère durable des faits, notamment des revenus, qui auraient changé de manière essentielle et durable ; si le juge</w:t>
      </w:r>
    </w:p>
    <w:p>
      <w:r>
        <w:t>- 11 - s’est fondé sur des circonstances de fait erronées, la modification ne peut pas résulter d’une simple reconsidération des circonstances de l’espèce, mais il faut une erreur qualifiée ou manifeste du juge (TF 5A_423/2009 du 23 octobre 2009 ; Juge délégué CACI 11 janvier 2016/21 consid. 3b/aa).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consid. 3.3.2, in FamPra.ch 2012 p. 1099 ; ATF 137 III 604 consid. 4.1.1). Lorsqu’il admet que les circonstances ayant prévalus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TF 5A_140/2013 du 28 mai 2013 consid.4.1).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5A_487/2010 du 3 mars 2011 consid. 2.3 ; TF 5A_562/2013 du 24 octobre 2013 consid. 3.1 ; TF 5A_860/2013 du 29 janvier 2014 consid. 4.3). Dans le cadre des mesures provisionnelles, le juge statue sur la base de la simple vraisemblance (ATF 127 III 474 consid. 2b/bb p. 478 et les références) après une administration limitée des preuves (ATF 120 II 352 consid. 2b), en se fondant sur les moyens de preuve immédiatement disponibles (ATF 131 III 473 consid. 2.3 in limine). Conformément au principe consacré par l’art. 157 CPC, le tribunal établit sa conviction par la libre appréciation des preuves administrées. Le point de savoir si le degré de vraisemblance requis par le droit fédéral est atteint dans le cas particulier ressortit à l’appréciation des preuves, les autorités cantonales</w:t>
      </w:r>
    </w:p>
    <w:p>
      <w:r>
        <w:t>- 12 - disposant d’une ample latitude à cet égard (ATF 130 III 321 consid. 5 p. 327 et les arrêts cités ; TF 5A_340/2008 du 12 août 2008 consid. 3.1).</w:t>
      </w:r>
    </w:p>
    <w:p>
      <w:r>
        <w:rPr>
          <w:b/>
        </w:rPr>
        <w:t>E. 3.3</w:t>
      </w:r>
    </w:p>
    <w:p>
      <w:r>
        <w:t>3.3.1L’appelant invoque une violation du droit au sens de l’art. 310 let. a CPC. Il soutient à cet égard que c’est à tort que le premier juge a retenu que ses revenus n’avaient pas durablement diminués, dès lors qu’il est au bénéfice du revenu d’insertion depuis le 1er septembre 2014 alors qu’il percevait des indemnités de l’assurance chômage d’un montant mensuel de 3'900 fr. le 15 novembre 2013, soit au moment de la signature de la convention ayant arrêté la contribution d’entretien à sa charge. Il fait en outre valoir que le premier juge aurait dû tenir compte des heures de ménage non déclarées que son épouse admet effectuer pour compenser le fait qu’elle ne travaille plus chez [...], dès lors qu’il s’agit bien d’une source de revenus complémentaires, la contribution d’entretien ayant été arrêtée uniquement sur la base des revenus réalisés par l’intimée dans le cadre de son activité salariée pour le compte d’ [...]. Dans un second moyen, l’appelant invoque une appréciation erronée de sa situation financière. Il soutient à cet égard que malgré le développement tout relatif de son activité indépendante en 2015, il n’est de loin pas parvenu à compenser la baisse importante de ses revenus intervenue en 2014, soit depuis qu’il ne perçoit plus d’indemnités du chômage. Il reproche au premier juge de n’avoir pris en compte que la seule évolution de l’exploitation de la raison individuelle « [...] » pour en déduire qu’il était vraisemblable que ses revenus avaient augmenté et estime qu’un tel raisonnement est insoutenable et heurte manifestement le sentiment d’équité. Il relève en outre qu’aucun élément au dossier ne permet de mettre en doute les documents comptables qu’il a produit, respectivement de s’en écarter.</w:t>
      </w:r>
    </w:p>
    <w:p>
      <w:r>
        <w:rPr>
          <w:b/>
        </w:rPr>
        <w:t>E. 3.3.2</w:t>
      </w:r>
    </w:p>
    <w:p>
      <w:r>
        <w:t>En l’espèce, l’appelant a certes produit une attestation pour l’autorité fiscale, confirmant qu’il a bénéficié du revenu d’insertion (ci- après : RI) du 1er septembre 2014 au 31 décembre 2015, à l’exception du mois de juillet</w:t>
      </w:r>
    </w:p>
    <w:p>
      <w:r>
        <w:t>- 13 - 2015. Il ne s’agit toutefois pas d’un fait nouveau au sens de l’art. 179 al. 1 CC, dès lors qu’il percevait déjà le RI lorsque le prononcé de mesures protectrices de l’union conjugale du 17 décembre 2014, qui a rejeté sa requête tendant à obtenir la suppression de la contribution d’entretien mise à sa charge, a été rendu. En outre, l’appelant n’a produit aucune pièce démontrant qu’il aurait touché le RI en 2016, plus précisément au moment du dépôt de sa requête de mesures provisionnelles du 18 août 2016, lequel est déterminant pour apprécier l’existence d’éventuelles circonstances nouvelles au regard de l’art. 179 al. 1 CC. Enfin, l’attestation produite par l’appelant n’indique pas quelles prestations du RI il aurait perçues en complément de ses revenus d’indépendant. Pour ces motifs, ce document ne permet pas de rendre vraisemblable une diminution des revenus de l’appelant qui soit notable et durable, respectivement qui perdure actuellement. Cela étant, l’appelant admet qu’il exerce une activité indépendante dans son atelier de mécanique automobile, ainsi qu’une activité de transport entre la Suisse et le Portugal, ce qui était déjà le cas au moment où le prononcé de mesures protectrices de l’union conjugale du 17 décembre 2014 a été rendu. Comme l’a relevé le premier juge, l’appelant, à qui il incombait de rendre vraisemblable une diminution de ses revenus, a produit une seule pièce comptable à cette fin, à savoir le compte de « pertes et profits » de son atelier de mécanique automobile relatif à l’année 2015. Il n’a en revanche produit aucun compte, ni aucun autre document permettant d’évaluer les gains qu’il a retiré de ses deux activités indépendantes en 2014 et surtout en 2016. Par ailleurs, comme indiqué dans l’ordonnance attaquée, le compte de « pertes et profits » concernant l’exercice 2015 est sujet à caution, dès lors qu’il fait état d’un faible bénéfice de seulement 13'709 fr. 77, alors même que les commandes de pièces faites par l’appelant ont augmenté dans une large mesure - passant de 4'055 fr. en 2012, 11'786 fr. en 2013 et 5’888 fr. en 2014 (cf. prononcé de mesures protectrices de l’union conjugale du 17 décembre 2014) à 13'054 fr. 65 en 2015 - ce qui indique une augmentation de l’activité qui paraît peu compatible avec le bénéfice annoncé.</w:t>
      </w:r>
    </w:p>
    <w:p>
      <w:r>
        <w:t>- 14 - Dans ces conditions, force est de constater que la situation financière de l’appelant est toujours opaque et qu’il n’a pas rendu vraisemblable que ses revenus auraient notablement et durablement diminué au moment du dépôt de sa requête de mesures provisionnelles en août 2016. Au regard de la seule pièce comptable au dossier, son activité dans son atelier de mécanique automobile semble au contraire avoir augmenté entre le 17 décembre 2014, date à laquelle sa première requête en suppression de la contribution d’entretien a été rejetée, et fin 2015. C’est dès lors à bon droit que le premier juge a retenu que l’on devait considérer, au stade de la vraisemblance, que l’appelant retirait toujours des revenus suffisants de ses activités indépendantes pour pouvoir s’acquitter de la contribution d’entretien mise à sa charge. En ce qui concerne la situation financière de l’intimée, le premier juge a considéré à raison que celle-ci ne s’était pas non plus modifiée de manière notable et durable. En effet, si l’intimée admet effectuer désormais des heures de ménage non déclarées, c’est toutefois pour compenser le fait qu’elle ne travaille plus chez [...] et rien ne permet de penser que son revenu aurait en définitive augmenté. L’appelant invoque en vain le fait que les revenus réalisés par son épouse chez [...] n’auraient pas été pris en compte pour calculer la contribution d'entretien, de sorte que les heures de ménage qu’elle effectue désormais en remplacement justifieraient de revoir le montant de ladite contribution d’entretien. Contrairement à ce que prétend l’appelant, le salaire réalisé par son épouse chez [...], qui s’est élevé à seulement 405 fr. 25 en 2013 et à 155 fr. 65 en 2014, a été pris en compte dans le prononcé de mesures protectrices de l’union conjugale du 17 décembre 2014. Au demeurant, il ne s’agit là que d’une rémunération occasionnelle et modeste, qui ne suffit pas à couvrir le minimum vital de l’intimée et de ses enfants et qui n’a donc pas d’influence sur la contribution d’entretien à la charge de l’appelant.</w:t>
      </w:r>
    </w:p>
    <w:p>
      <w:r>
        <w:t>- 15 - On relèvera enfin que les charges incompressibles de l’appelant et de l’intimée retenues par le premier juge peuvent sans autre être confirmées, celles-ci n’étant pas contestées en appel. En définitive, il n’existe aucune circonstance nouvelle justifiant de modifier la contribution d’entretien de 1'500 fr. par mois dont doit s’acquitter l’appelant.</w:t>
      </w:r>
    </w:p>
    <w:p>
      <w:r>
        <w:rPr>
          <w:b/>
        </w:rPr>
        <w:t>E. 4</w:t>
      </w:r>
    </w:p>
    <w:p>
      <w:r>
        <w:t>Il découle des considérants qui précèdent que l’appel doit être rejeté selon le mode procédural de l’art. 312 al. 1 CPC et l’ordonnance attaquée confirmée. Dès lors que l’appel était d’emblée dépourvu de chances de succès, la demande d’assistance judiciaire présentée par l’appelant doit être rejetée (art. 117 let. b CPC ; cf. CACI 5 septembre 2014/450 consid. 5). L’appelant qui succombe (art. 106 al. 1 CPC) supportera les frais judiciaires de deuxième instance, arrêtés à 600 fr. (art. 63 al. 2 TFJC [Tarif des frais judiciaires civils du 28 septembre 2010 ; RSV 270.11.5]). L’intimée n’ayant pas été invitée à se déterminer, il n’y a pas lieu à l’allocation de dépens et sa requête d’assistance judiciaire doit être rejetée. Par ces motifs, la juge déléguée de la Cour d’appel civile prononce : I. L’appel est rejeté.</w:t>
      </w:r>
    </w:p>
    <w:p>
      <w:r>
        <w:t>- 16 - II. L’ordonnance est confirmée. III. Les frais judiciaires de deuxième instance, arrêtés à 600 fr. (six cents francs), sont mis à la charge de l’appelant D.________. IV. La requête d’assistance judiciaire déposée par l’appelant D.________ est rejetée. V. La requête d’assistance judiciaire déposée par l’intimée A.________ est rejetée. VI. L’arrêt motivé est exécutoire. La juge déléguée : Le greffier : Du Le présent arrêt, dont le dispositif a été communiqué par écrit aux intéressés le 29 décembre 2016, est notifié en expédition complète à : - Me Franck-Olivier Karlen (pour D.________) - Me Patrick Suter (pour A.________) et communiqué, par l'envoi de photocopies, à : - M. le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w:t>
      </w:r>
    </w:p>
    <w:p>
      <w:r>
        <w:t>- 17 - 2005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