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TD16.030030 vom 14. Januar 2019</w:t>
      </w:r>
    </w:p>
    <w:p>
      <w:r>
        <w:t>VD Tribunal cantonal, 2019-01-14, FR</w:t>
      </w:r>
    </w:p>
    <w:p>
      <w:r>
        <w:rPr>
          <w:b/>
        </w:rPr>
        <w:t xml:space="preserve">Quelle: </w:t>
      </w:r>
      <w:r>
        <w:t>https://mcp.opencaselaw.ch/entscheid/vd_gerichte_TD16.030030</w:t>
      </w:r>
    </w:p>
    <w:p>
      <w:r>
        <w:t>FR: VD_GERICHTE TD16.030030 du 14 janvier 2019</w:t>
      </w:r>
    </w:p>
    <w:p>
      <w:r>
        <w:t>IT: VD_GERICHTE TD16.030030 del 14 gennaio 2019</w:t>
      </w:r>
    </w:p>
    <w:p>
      <w:pPr>
        <w:pStyle w:val="Heading2"/>
      </w:pPr>
      <w:r>
        <w:t>Volltext</w:t>
      </w:r>
    </w:p>
    <w:p>
      <w:r>
        <w:t>TRIBUNAL CANTONAL TD16.030030-181868 13 CO UR D’APPEL CIVI L E _____________________________ Arrêt du 14 janvier 2019 __________________ Composition : M. ABRECHT, président Mmes Kühnlein et Crittin Dayen, juges Greffier : M. Clerc ***** Art. 132, 311 al. 1 CPC Statuant sur l’appel interjeté par A.Z.________, à Pully, défendeur, contre le jugement rendu le 18 octobre 2018 par le Tribunal civil de l’arrondissement de l’Est vaudois dans la cause divisant l’appelant d’avec B.Z.________, à Vevey, la Cour d’appel civile du Tribunal cantonal considère : 1112</w:t>
      </w:r>
    </w:p>
    <w:p>
      <w:r>
        <w:t>- 2 - En fait et e n droi t : 1. Par jugement du 18 octobre 2018, le Tribunal civil de l’arrondissement de l’Est vaudois (ci-après : le tribunal ou les premiers juges) a notamment prononcé le divorce des époux B.Z.________ et A.Z.________ (I), a ratifié pour valoir jugement les art. 1 à 3 et 5 à 8 de la convention partielle sur les effets du divorce signée par les parties le 14 février 2017 (II), a attribué l’autorité parentale exclusive et la garde sur l’enfant P.________ à B.Z.________ (III), a réglé le droit de visite de A.Z.________ sur P.________ (IV) et a fixé le montant de la contribution due par le père pour l’entretien de sa fille (VII et VIII). Par acte du 21 novembre 2018, A.Z.________ a fait appel du jugement précité, en prenant les conclusions suivantes : « 1. Déclarer l’appel recevable, bienfondé conformément à la vérité et ces faits nouveaux établis ; 2. Ordonner la révision et correction de cette affaire ; 3. De présenter comme un postulat au Grand Conseil vaudois, ce nouveau dispositif « Mercycl » pour qu’il soit élu dans un nouveau programme politique préventif et économique des familles vaudoises et suisses ; 4. Annuler le prononcé du 8 mai 2018 de la Présidente du Tribunal civil et tous les autres prononcés depuis avril 2013 à ce jour ; 5. Rejeter les conclusions du Dr W.________ et appliquer celles du DrH.________ et du Dr [...]. 6. Constater dès lors que la décision annulée est inopérante ; 7. Sous suite de frais, de réparations matérielles chiffrées ci-dessus, dépens, torts moraux, dommages et intérêts. » Sans prendre de conclusion formelle à cet égard, A.Z.________ a en outre requis la récusation du juge cantonal [...] et de la Vice- Présidente du Tribunal civil de l’arrondissement [...] [...]. 2. 2.1 L'appel est recevable contre les décisions finales de première instance (art. 308 al. 1 let. a CPC), dans les causes patrimoniales dont la valeur litigieuse, au dernier état des conclusions devant l'autorité précédente, est de 10'000 fr. au moins (art. 308 al. 2 CPC).</w:t>
      </w:r>
    </w:p>
    <w:p>
      <w:r>
        <w:t>- 3 - 2.2 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Il a ainsi le fardeau d’expliquer les motifs pour lesquels la décision attaquée doit être annulée et modifiée, par référence à l’un et/ou l’autre des motifs prévus à l’art. 310 CPC. L’appelant ne peut pas se contenter de renvoyer aux écritures précédentes ou aux moyens soulevés en première instance ; il doit expliquer en quoi son argumentation peut influer sur la solution retenue par les premiers juges (TF 4A_659/2011 du 7 décembre 2011 consid. 3 et 4, RSPC 2012 p. 128, SJ 2012 I 231 ; TF 5A_ 438/2012 du 27 août 2012 consid. 2.2, RSPC 2013 p. 29 ; TF 5D_148/2013 du 10 janvier 2014 consid. 5.2.1).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 A défaut de motivation suffisante, l’appel est irrecevable (TF 5A_209/2014 du 2 septembre 2014 consid. 4.2.1 ; TF 4A_101/2014 du 26 juin 2014 consid. 3.3 ; TF 4A_651/2012 du 7 février 2013 consid. 4.2). 2.3 En outre, à l’instar de l’acte introductif d’instance, l’acte d’appel doit contenir des conclusions au fond. Il faut donc que l’appelant explicite dans quelle mesure la décision attaquée doit être modifiée ou annulée (ATF 137 III 617 consid. 4.2.2, JdT 2012 III 23 et les réf. citées),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L'appelant ne saurait, sous peine d'irrecevabilité, se limiter à conclure à l'annulation de la décision attaquée, l’appel ordinaire ayant un effet réformatoire, et doit au</w:t>
      </w:r>
    </w:p>
    <w:p>
      <w:r>
        <w:t>- 4 -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 même sur le fond, en particulier faute d’un état de fait suffisant, et ne pourrait que renvoyer la cause à l’autorité inférieure (ATF 134 III consid. 1.3, JdT 2012 III 23). S’agissant de conclusions pécuniaires, le recours doit en outre contenir des conclusions chiffrées (ATF 137 III 617 consid. 4; TF 4A_348/2016 du 23 juin 2016 consid. 4 ; TF 4A_35/2015 du 12 juin 2015 consid. 3.2). 2.4 Il ne saurait être remédié à un défaut de motivation ou à des conclusions déficientes par la fixation d'un délai de l’art. 132 CPC, de tels vices n'étant pas d'ordre purement formel et affectant l'appel de façon irréparable (ATF 137 III 617 consid. 6.4, JdT 2014 Il 187 ; TF 4A_659/2011 du 7 décembre 2011 consid. 5 in SJ 2012 I 31 ; Jeandin, CPC Commenté, Bâle 2011, n. 5 ad art. 311 CPC ; CACI 14 décembre 2015/672). 2.5 En l’espèce, A.Z.________A.Z.________ se contente de conclure à la « révision et correction » du jugement entrepris. Il ne précise pas ce qu’il souhaite obtenir par son appel, ni dans quel sens il requiert que le dispositif du jugement entrepris soit modifié. Son acte ne contient aucune conclusion en annulation ni en réforme qui permettrait de statuer à nouveau. Par ailleurs, l’appelant prend des conclusions relatives à un « nouveau dispositif "Mercycl" » et au versement de « torts moraux, dommages et intérêts » en lien avec des « neurointoxications mercurielles », alors même que ces éléments n’ont pas fait l’objet de la procédure de première instance. Enfin, A.Z.________ conclut à l’annulation de « tous les autres prononcés depuis avril 2013 à ce jour », y compris celui du 8 mai 2018. Or, ces conclusions sont manifestement tardives, partant irrecevables.</w:t>
      </w:r>
    </w:p>
    <w:p>
      <w:r>
        <w:t>- 5 - Le vice découlant du défaut de conclusions étant irréparable, l’appel doit être déclaré irrecevable. 2.6 Au surplus, A.Z.________ n’ayant pas formellement pris de conclusions à cet égard, il n’y a pas lieu de traiter ses requêtes de récusation, ce d’autant moins que cela ne relève pas de la compétence de la cour de céans. 3. Au vu de ce qui précède, l’appel doit être déclaré irrecevable selon le mode procédural de l'art. 312 al. 1 CPC. L’arrêt peut être rendu sans frais judiciaires (art. 10 TFJC [tarif des frais judiciaires civils du 28 septembre 2010, BLV 270.11.5]). Il n’y a pas matière à l’allocation de dépens, l’intimée n’ayant pas été invitée à se déterminer. Par ces motifs, la Cour d’appel civile prononce : I. L’appel est irrecevable. II. Il n’est pas perçu de frais judiciaires de deuxième instance. III. L’arrêt est exécutoire.</w:t>
      </w:r>
    </w:p>
    <w:p>
      <w:r>
        <w:t>- 6 - Le président : Le greffier : Du Le présent arrêt, dont la rédaction a été approuvée à huis clos, est notifié à : - M. A.Z.________, - Mme B.Z.________, et communiqué, par l'envoi de photocopies, à : - Mme la Présidente du Tribunal civil de l’arrondissement de l’Est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