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TD16.019715 vom 25. Oktober 2023</w:t>
      </w:r>
    </w:p>
    <w:p>
      <w:r>
        <w:t>VD Tribunal cantonal, 2023-10-25, FR</w:t>
      </w:r>
    </w:p>
    <w:p>
      <w:r>
        <w:rPr>
          <w:b/>
        </w:rPr>
        <w:t xml:space="preserve">Quelle: </w:t>
      </w:r>
      <w:r>
        <w:t>https://mcp.opencaselaw.ch/entscheid/vd_gerichte_TD16.019715</w:t>
      </w:r>
    </w:p>
    <w:p>
      <w:r>
        <w:t>FR: VD_GERICHTE TD16.019715 du 25 octobre 2023</w:t>
      </w:r>
    </w:p>
    <w:p>
      <w:r>
        <w:t>IT: VD_GERICHTE TD16.019715 del 25 ottobre 2023</w:t>
      </w:r>
    </w:p>
    <w:p>
      <w:pPr>
        <w:pStyle w:val="Heading2"/>
      </w:pPr>
      <w:r>
        <w:t>Erwägungen</w:t>
      </w:r>
    </w:p>
    <w:p>
      <w:r>
        <w:rPr>
          <w:b/>
        </w:rPr>
        <w:t>E. 8</w:t>
      </w:r>
    </w:p>
    <w:p>
      <w:r>
        <w:t>Après un complément d’instruction par le premier juge, les parties se sont déterminées sur la note d’honoraires établie par [...] pour [...]. Le recourant s’est opposé à la rétribution du mandat, estimant que le travail demandé n’avait pas été effectué à satisfaction de droit et remettant en question les compétences de l’experte en matière d’estimations immobilières. L’intimée a au contraire indiqué être satisfaite de l’expertise, la qualifiant de parfaitement claire, précise et documentée. En d roit : 1. 1.1 L’art. 319 let. b ch. 1 CPC (Code de procédure civile du 19 décembre 2008 ; RS 272) ouvre la voie du recours contre les décisions et ordonnances d’instruction de première instance pour lesquelles un recours est expressément prévu par la loi. L’art. 184 al. 3 CPC prévoit que la décision relative à la rémunération de l’expert peut faire l’objet d’un recours. Cette décision compte parmi les « autres décisions » visées par l’art. 319 let. b CPC (Jeandin, Commentaire romand, Code de procédure civile, 2ème éd., Bâle 2019 [cité ci-après : CR-CPC], n. 15 ad art. 319 CPC), lesquelles sont soumises au délai de recours applicable à la procédure au fond (Jeandin, CR-CPC, n. 10 ad art. 321 CPC), soit trente jours en procédures ordinaire et simplifiée (art. 321 al. 1 CPC). Le recours doit être introduit auprès de l’instance de recours, soit la Chambre des recours civile (art. 73 LOJV [loi d’organisation judiciaire du 12 décembre 1979 ; BLV 173.01]). 1.2 En l’espèce, le recours, qui porte sur une décision relative à la rémunération d’un expert, a été déposé en temps utile devant l’autorité</w:t>
      </w:r>
    </w:p>
    <w:p>
      <w:r>
        <w:t>- 5 - compétente, par une partie disposant d'un intérêt digne de protection (art. 59 al. 2 let. a CPC). 2. 2.1 2.1.1 Aux termes de l'art. 321 al. 1 in initio CPC, le recours doit être écrit et motivé. La motivation doit, à tout le moins, satisfaire aux exigences qui sont posées pour un mémoire d'appel (ATF 147 III 176 consid. 4.2.1).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précité ; TF 5D_43/2019 du 24 mai 2019 consid. 3.2.2.1). En l'absence de motivation suffisante, le recours doit être déclaré irrecevable (TF 4A_101/2014 du 26 juin 2014 consid. 3.3). En outre, le recours doit contenir, sous peine d'irrecevabilité, des conclusions, en annulation ou au fond, soit ce que la partie veut que le tribunal lui alloue dans sa décision (CREC 9 novembre 2022/257).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4 juillet 2022/163 ; Jeandin, CR-CPC, n. 5 ad art. 321 CPC). Dès lors, les conclusions doivent être rédigées d'une manière suffisamment précise pour pouvoir être reprises telles quelles dans le dispositif de la décision à rendre (ATF 137 III 617 consid. 4.3 et 4.4 et les réf. citées, JdT 2014 Il 187 ; TF 5A_65/2022 du 16 janvier 2023 consid. 3.3.1 ; TF 4A_274/2020 du 1er septembre 2020 consid. 4 ; CREC 1er février 2023).</w:t>
      </w:r>
    </w:p>
    <w:p>
      <w:r>
        <w:t>- 6 - 2.1.2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5A_368/2018 du 25 avril 2019 consid. 4.3.4 et les réf. citées ; Jeandin, CR-CPC, n. 4 ad art. 321 CPC et n. 5 ad art. 311 CPC par analogie). L'art. 132 CPC ne permet pas non plus de compléter ou d'améliorer une motivation insuffisante, ce même si le mémoire émane d'une personne sans formation juridique (TF 5A_730/2021 du 9 février 2022 consid. 3.3.2 ; TF 5A_23/2019 du 3 juillet 2019 consid. 3.2.2 ; TF 5A_488/2015 du 21 août 2015 consid. 3.2.2 ; TF 4A_659/2011 du 7 décembre 2011 consid. 5, SJ 2012 I 231, in Revue suisse de procédure civile [RSPCI] 2012 p. 128). 2.2 Le droit d'être entendu garanti par l'art. 29 al. 2 Cst. (Constitution fédérale de la Confédération suisse du 18 avril 1999 ; RS 101) impose au juge de motiver sa décision, permettant ainsi au justiciable d'exercer son droit de recours en connaissance de cause et à l'autorité de recours d'exercer un contrôle efficace (ATF 136 I 229 consid. 5.2 ; ATF 121 I 54 consid. 2c ;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ATF 142 Il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 3.2.1 et les réf. citées).</w:t>
      </w:r>
    </w:p>
    <w:p>
      <w:r>
        <w:t>- 7 - 2.3 2.3.1 En l'espèce, le recourant prend uniquement une conclusion tendant à l'annulation de la décision attaquée et au renvoi pour que le président procède à une instruction complémentaire dans le sens des considérants découlant du « présent recours ». Il est manifeste que cette conclusion ne saurait être reprise telle quelle dans le dispositif de l'arrêt. Au demeurant, les mesures d'instruction complémentaires désirées ne ressortent pas clairement du recours. Le recourant se contente en effet de formuler des questions, respectivement de considérer que le président aurait dû motiver certains points sans indiquer précisément les actes d'instruction qui devraient être accomplis. Pour ce premier motif, le recours doit être déclaré irrecevable. 2.3.2 Le recours doit également être déclaré irrecevable pour défaut de motivation. On déduit du recours – sans que le recourant ne l'invoque clairement – qu'il se prévaut d'une violation de son droit d'être entendu dans la mesure où la motivation de la décision attaquée ne répondrait pas à l'entier des griefs formulés par ses soins. Il n'expose toutefois pas dans quelle mesure les conditions fixées par l'art. 29 Cst. et la jurisprudence ne seraient pas réalisées en l'espèce, se contentant laconiquement de renvoyer aux arguments qu'il aurait développés dans la procédure de première instance. Un renvoi simple à des écritures annexes ne constitue pas une motivation de recours. La motivation du recourant est donc manifestement insuffisante, il devait en effet exposer précisément les éléments manquants dans la motivation de la décision ainsi que les conséquences à son sens du défaut de cette motivation sur le résultat attendu. On relèvera en outre que les griefs formulés à l'encontre du rapport d'expertise figurant sous chiffre 16 du recours sont extraits d'un courrier adressé à l'experte principale, Me [...], et non au président. Le recourant n'expose pour le reste ni avoir fait valoir ces éléments directement auprès de l'autorité de première instance ni pour quelle raison ces arguments devaient être examinés par celle-ci malgré le fait que le courrier précité ne lui avait pas été adressé.</w:t>
      </w:r>
    </w:p>
    <w:p>
      <w:r>
        <w:t>- 8 - Enfin, après avoir résumé l'argumentation du président, le recourant indique que celle-ci est contredite par les griefs formulés aux chiffres 16 à 18 de son recours, sans toutefois expliciter sa critique et en particulier reprendre les éléments des pièces – et non sa propre appréciation – qui contrediraient l'argumentation précitée. Il en va de même quant à l'appréciation générale figurant sous chiffres 23 et 24 du recours, qui n'est pas motivée et relève davantage de la substitution par le recourant de son opinion à celle du premier juge. 2.4 Même recevable, le recours aurait de toute façon dû être rejeté. En effet, le recourant ne fait que développer sa propre argumentation sans véritablement procéder à une critique précise de l'appréciation du président quant au caractère utilisable du rapport d'expertise litigieux. En effet, le recourant ne détaille pas, au-delà d'une exposition de sa propre appréciation aux chiffres 16, 17, 18, 21, 23 et 24 de son recours, les éléments factuels qui permettraient de déterminer que le travail effectué par l'experte serait insuffisant. En particulier, s'il invoque l'existence d'un rapport d'expertise privée aboutissant à une estimation de la valeur des parcelles examinées supérieure à celle du rapport objet du présent litige, il n'en tire aucun élément précis permettant de déterminer les manquements éventuels. 3. 3.1 En définitive, le recours doit être déclaré irrecevable. 3.2 Le recourant a requis le bénéfice de l’assistance judicaire. Cette requête est rejetée, dans la mesure où le recours est irrecevable. 3.3 Le présent arrêt peut être rendu sans frais judiciaires de deuxième instance (art. 10 et 11 TFJC [Tarif des frais judiciaires civils du 28 septembre 2010 ; BLV 270.11.5]). 3.4 Enfin, il n’y a pas lieu à l’allocation de dépens, l’intimée, la notaire ou l’experte [...] n’ayant pas été interpelées.</w:t>
      </w:r>
    </w:p>
    <w:p>
      <w:r>
        <w:t>- 9 - Par ces motifs, la Chambre des recours civile du Tribunal cantonal, prononce : I. Le recours est irrecevable. II. La requête d’assistance judiciaire formée par le recourant B.S.________ est rejetée. III. L’arrêt, rendu sans frais judiciaires ni dépens, est exécutoire. La présidente : La greffière :</w:t>
      </w:r>
    </w:p>
    <w:p>
      <w:r>
        <w:t>- 10 - Du L'arrêt qui précède, dont la rédaction a été approuvée à huis clos, est notifié à : - Me Olivier Flattet (pour B.S.________), - Me Samuel Pahud (pour A.S.________), - [...] (pour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