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TD16.006998 vom 11. Dezember 2018</w:t>
      </w:r>
    </w:p>
    <w:p>
      <w:r>
        <w:t>VD Tribunal cantonal, 2018-12-11, FR</w:t>
      </w:r>
    </w:p>
    <w:p>
      <w:r>
        <w:rPr>
          <w:b/>
        </w:rPr>
        <w:t xml:space="preserve">Quelle: </w:t>
      </w:r>
      <w:r>
        <w:t>https://mcp.opencaselaw.ch/entscheid/vd_gerichte_TD16.006998</w:t>
      </w:r>
    </w:p>
    <w:p>
      <w:r>
        <w:t>FR: VD_GERICHTE TD16.006998 du 11 décembre 2018</w:t>
      </w:r>
    </w:p>
    <w:p>
      <w:r>
        <w:t>IT: VD_GERICHTE TD16.006998 del 11 dicembre 2018</w:t>
      </w:r>
    </w:p>
    <w:p>
      <w:pPr>
        <w:pStyle w:val="Heading2"/>
      </w:pPr>
      <w:r>
        <w:t>Erwägungen</w:t>
      </w:r>
    </w:p>
    <w:p>
      <w:r>
        <w:rPr>
          <w:b/>
        </w:rPr>
        <w:t>E. 5</w:t>
      </w:r>
    </w:p>
    <w:p>
      <w:r>
        <w:t>; TF 5A_ 400/2012 du 25 février 2013 consid. 4.1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w:t>
      </w:r>
    </w:p>
    <w:p>
      <w:r>
        <w:t>- 12 - la base de tels faits et celle initialement fixée est d'une ampleur suffisante (TF 5A_113/2013 du 2 août 2012 consid. 3.1 ; TF 5A_245/2013 du 24 septembre 2013 consid. 3.1 ; TF 5A_535/2013 du 22 octobre 2013 consid. 3.1 ; TF 5A_860/2013 du 29 janvier 2014 consid. 4.3 ; TF 5A_33/2015 du 28 avril 2015 consid. 4.1). 3.2.2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références, JdT 2012 II 479 ;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(TF 5A_601/2017 du 17 janvier 2018 consid. 6.3.2.1). Les coûts communs (montant de base, loyer, etc) sont en principe divisés en deux, même si la participation du nouveau partenaire est moindre (ATF 138 III 97 consid. 2.3.2, JdT 2012 II 479) ou lorsque les économies de coût ne sont pas effectivement réalisées (TF 5A_724/2016 du 19 avril 2017 consid. 4.3). 3.3 En l’espèce, comme l’a retenu à juste titre le premier juge, depuis le mois d’avril 2017, l’intimée a vécu en concubinage avec M.________. A l’audience d’appel, l’intimée a toutefois déclaré que le concubinage avait pris fin le 30 juin 2018, M.________ ayant réintégré le studio, dont il avait par ailleurs continué à supporter les charges durant toute la durée de leur relation. Le concubinage est ainsi avéré pour la</w:t>
      </w:r>
    </w:p>
    <w:p>
      <w:r>
        <w:t>- 13 - période courant du mois d’avril 2017 à la fin juin 2018 et on ignore s’il perdure depuis lors. Cela importe peu, dans la mesure où, même si le concubinage devait amener une réduction de certains postes des charges courantes – en l’occurrence, un montant de base divisé par deux, voire une partie des frais du logement –, l’intimée a rendu vraisemblable que le maintien de son train de vie à un niveau tel que celui constaté en 2014 implique le paiement de charges dont il n’avait pas été tenu compte alors. Il s’agit en particulier des acomptes d’impôt, des cotisations AVS courantes et arriérées et des frais inhérents à l’entretien des deux villas en Espagne. Que l’on considère ou non que le concubinage avec M.________ – dont l’appelant n’a pas rendu vraisemblable qu’il perdurerait après le 30 juin 2018 – entraîne une baisse des charges de l’intimée, la situation financière de celle-ci ne s’est pas améliorée depuis le prononcé de mesures protectrices de l’union conjugale du 27 mai 2014. En effet, les charges de l’intimée ont augmenté de manière plus importante que le potentiel bénéfice du concubinage. Il ne se justifie dès lors pas de diminuer la contribution due à l’entretien de l’intimée. Enfin, au stade des mesures provisionnelles, il n’y a pas lieu d’entrer en matière sur les conclusions de l’appelant en tant qu’elles concernent les contributions qui seront dues à partir du 1er février 2020, soit dans plus d’une année. 4. Pour ces motifs, l’appel doit être rejeté et l’ordonnance querellée confirmée. Les frais judiciaires de deuxième instance, arrêtés à 1'200 fr. (art 65 al. 2 TFJC [tarif des frais judiciaires civils du 28 septembre 2010 ; RSV 270.11.5]), seront mis à la charge de l’appelant, qui succombe (art. 106 al. 1 CPC). Vu l’issue du litige, l’appelant versera à l’intimée la somme de 2'500 fr. (art. 7 TDC [tarif des dépens en matière civile du 23</w:t>
      </w:r>
    </w:p>
    <w:p>
      <w:r>
        <w:t>- 14 - novembre 2010 ; RSV 270.11.6]) à titre de dépens de deuxième instance (art. 95 al. 1 let. b et 106 al. 1 CPC). Par ces motifs, le juge délégué de la Cour d’appel civile prononce : I. L’appel est rejeté. II. L’ordonnance est confirmée. III. Les frais judiciaires de deuxième instance, arrêtés à 1'200 fr. (mille deux cents francs), sont mis à la charge de l’appelant A.F.________. IV. L’appelant A.F.________ doit verser à l’intimée B.F.________ la somme de 2'500 fr. (deux mille cinq cents francs), à titre de dépens de deuxième instance. V. L’arrêt est exécutoire.</w:t>
      </w:r>
    </w:p>
    <w:p>
      <w:r>
        <w:t>- 15 - Le juge délégué : La greffière : Du Le présent arrêt, dont la rédaction a été approuvée à huis clos, est notifié en expédition complète à : - Me Mireille Loroch (pour A.F.________), - Me Andrea E. Rusca (pour B.F.________),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