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TD16.004347 vom 24. August 2017</w:t>
      </w:r>
    </w:p>
    <w:p>
      <w:r>
        <w:t>VD Tribunal cantonal, 2017-08-24, FR</w:t>
      </w:r>
    </w:p>
    <w:p>
      <w:r>
        <w:rPr>
          <w:b/>
        </w:rPr>
        <w:t xml:space="preserve">Quelle: </w:t>
      </w:r>
      <w:r>
        <w:t>https://mcp.opencaselaw.ch/entscheid/vd_gerichte_TD16.004347</w:t>
      </w:r>
    </w:p>
    <w:p>
      <w:r>
        <w:t>FR: VD_GERICHTE TD16.004347 du 24 août 2017</w:t>
      </w:r>
    </w:p>
    <w:p>
      <w:r>
        <w:t>IT: VD_GERICHTE TD16.004347 del 24 agosto 2017</w:t>
      </w:r>
    </w:p>
    <w:p>
      <w:pPr>
        <w:pStyle w:val="Heading2"/>
      </w:pPr>
      <w:r>
        <w:t>Erwägungen</w:t>
      </w:r>
    </w:p>
    <w:p>
      <w:r>
        <w:rPr>
          <w:b/>
        </w:rPr>
        <w:t>E. 1</w:t>
      </w:r>
    </w:p>
    <w:p>
      <w:r>
        <w:t>Par décision du 13 janvier 2015, la Présidente du Tribunal civil de l’arrondissement de Lausanne a accordé le bénéfice de l’assistance judiciaire à A.R.________ avec effet au 4 novembre 2014 dans la cause en divorce opposant cette dernière à B.R.________ et désigné l’avocat X.________ en qualité de conseil d’office. Le 4 avril 2017, l’avocat X.________ a produit une liste d’opérations totalisant 54 heures et 25 minutes d’honoraires, ainsi que des débours, hors TVA, à hauteur de 691 fr. 40, pour la période allant du 4 novembre 2014 au 4 avril 2017.</w:t>
      </w:r>
    </w:p>
    <w:p>
      <w:r>
        <w:rPr>
          <w:b/>
        </w:rPr>
        <w:t>E. 1.1</w:t>
      </w:r>
    </w:p>
    <w:p>
      <w:r>
        <w:t>L'art. 110 CPC (Code de procédure civile du 19 décembre 2008 ; RS 272) ouvre la voie du recours de l'art. 319 let. b ch. 1 CPC contre les décisions fixant l'indemnité du conseil d'office, cette indemnité étant considérée comme des frais au sens de l'art. 95 CPC (CREC 11 août 2017/294 ; CREC 15 avril 2014/140 ;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cette procédure est également applicable lorsque le tribunal statue sur l'indemnité du conseil d'office, même si l'indemnité a été fixée dans le jugement au fond. Partant, le délai pour déposer un recours est de dix jours (art. 321 al. 2 CPC ; TF 5A_120/2016 du 26 mai 2016 consid. 2.1 ; TF 5A_94/2015 du 6 août 2015 consid. 5). Toutefois, lorsque la rémunération de l’avocat d’office est intégrée au jugement de divorce au fond et que les voies de droit de celui-ci indiquent inexactement un délai de 30 jours pour recourir en matière de frais et d’assistance judiciaire, on ne peut reprocher au recourant, même en sa qualité d’avocat, de s’être fié à cette indication</w:t>
      </w:r>
    </w:p>
    <w:p>
      <w:r>
        <w:t>- 5 - erronée des voies de droit (TF 5A_120/2016 du 26 mai 2016 consid. 2.2 et 2.3). Dans la mesure où sa propre situation est affectée, le conseil juridique dispose à titre personnel d'un droit de recours au sujet de la rémunération équitable accordée (ATF 131 V 153 consid. 1 ; Tappy, op. cit., n. 22 ad art. 122 CPC).</w:t>
      </w:r>
    </w:p>
    <w:p>
      <w:r>
        <w:rPr>
          <w:b/>
        </w:rPr>
        <w:t>E. 1.2</w:t>
      </w:r>
    </w:p>
    <w:p>
      <w:r>
        <w:t>En l’espèce, le recourant dispose d’un intérêt à contester le jugement entrepris, qui fixe sa rémunération de conseil d’office. Par ailleurs, il y a lieu, au regard de la jurisprudence précitée, de considérer que le recours, déposé dans un délai de 30 jours, a été interjeté en temps utile. En effet, le jugement attaqué, qui statue dans une cause en divorce au fond et dans le même temps sur la rémunération de l’avocat d’office, mentionne de manière erronée la possibilité de recourir en matière de frais et d’assistance judiciaire dans un délai de 30 jours. Partant, le recours de X.________ doit être déclaré recevable.</w:t>
      </w:r>
    </w:p>
    <w:p>
      <w:r>
        <w:rPr>
          <w:b/>
        </w:rPr>
        <w:t>E. 2</w:t>
      </w:r>
    </w:p>
    <w:p>
      <w:r>
        <w:t>Le 27 janvier 2016, A.R.________ a déposé une demande unilatérale en divorce et des mesures provisionnelles. Le 18 avril 2016, lors de l’audience de conciliation et de mesures provisionnelles, B.R.________ a admis l’existence d’un motif de divorce. A cette occasion, il a été décidé de suspendre cette audience. Par courrier du 25 mai 2016, A.R.________ a retiré sa requête de mesures provisionnelles. Le 24 août 2016, les parties ont signé une convention sur les effets du divorce.</w:t>
      </w:r>
    </w:p>
    <w:p>
      <w:r>
        <w:t>- 4 - L’audience des débats s’est tenue le 14 novembre 2016 devant le Tribunal civil de l’arrondissement de Lausanne en présence des parties. Celles-ci se sont engagées à entreprendre une médiation familiale. Le 2 juin 2017, le jugement entrepris, ratifiant notamment, pour valoir jugement, la convention du 24 août 2016, a été rendu et adressé aux parties. En d roit : 1.</w:t>
      </w:r>
    </w:p>
    <w:p>
      <w:r>
        <w:rPr>
          <w:b/>
        </w:rPr>
        <w:t>E. 2.1</w:t>
      </w:r>
    </w:p>
    <w:p>
      <w:r>
        <w:t>Selon l’art. 321 al. 1 CPC, le recours doit être motivé. A cet égard, les exigences de motivation applicables à l’appel doivent à tout le moins être remplies pour le recours (TF 5A_247/2013 du 15 octobre 2013 consid. 3.1, publié in RSPC 2014 p. 154).</w:t>
      </w:r>
    </w:p>
    <w:p>
      <w:r>
        <w:rPr>
          <w:b/>
        </w:rPr>
        <w:t>E. 2.2</w:t>
      </w:r>
    </w:p>
    <w:p>
      <w:r>
        <w:t>; CREC 23 janvier 2015/44 consid. 5b ; Juge délégué CACI 18 août 2014/436 consid. 3).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w:t>
      </w:r>
    </w:p>
    <w:p>
      <w:r>
        <w:t>- 8 - 117 la 22 consid. 4b et les références citées ; ATF 109 la 107 consid. 3 et les références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 céans a jugé de longue date que les frais de photocopies, font, sauf exception particulière comme par exemple la copie d'un dossier particulièrement volumineux, partie des frais généraux de l'avocat et ne peuvent en principe être facturés en sus à titre de débours (CREC 8 mai 2017/158 consid. 3.2 ; CREC 15 septembre 2014/325 consid. 3b ; CREC 21 mai 2012/181 consid. 3b et les références citées). S'agissant des frais de déplacement du conseil d'office, la jurisprudence vaudoise retient tant en matière pénale que civile une indemnisation forfaitaire, valant pour tout le canton et couvrant tant les kilomètres parcourus que le temps du déplacement aller-retour, de 120 fr. pour un avocat breveté et de 80 fr. pour un stagiaire ; la jurisprudence a précisé que les inégalités pouvant découler dudit système et résultant de ce que le montant versé reste le même quelle que soit la durée du déplacement s'équilibrent sur l'ensemble des mandats d'office traités par un conseil (CREC 10 août 2016/317 consid. 3.2 ; CREC 26 octobre 2012/382, JdT 2013 III 3).</w:t>
      </w:r>
    </w:p>
    <w:p>
      <w:r>
        <w:rPr>
          <w:b/>
        </w:rPr>
        <w:t>E. 3.1</w:t>
      </w:r>
    </w:p>
    <w:p>
      <w:r>
        <w:t>Le recourant reproche en substance au premier juge d’avoir réduit drastiquement la quotité de son indemnité de conseil d’office. Il a conclu à ce qu’une indemnité, représentant une activité d’avocat de 54 heures et 25 minutes et des débours à hauteur de 691 fr. 40, à savoir 11'325 fr. 45, TVA comprise, lui soit allouée.</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6B_730/2014 du 2 mars 2015 consid. 3.2, publié aux ATF 141 I 124 ; 5P.291/2006 du 13 septembre 2006), le montant de l'indemnité allouée au conseil d'office dans les limites de leur tarif des frais (art. 96 CPC)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sur l'assistance judiciaire en matière civile du 7 décembre 2010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w:t>
      </w:r>
    </w:p>
    <w:p>
      <w:r>
        <w:t>- 7 -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5D_149/2016 du 30 janvier 2017 consid. 3.3 ; ATF 109 Ia 2017 consid. 3b ; CREC 25 janvier 2013/29, JdT 2013 II 35 ss). S'agissant d’un pur travail de secrétariat, le temps indiqué pour la rédaction de mémos ou d'avis de transmission ne peut être pris en compte à titre d'activité déployée par l'avocat (CREC 6 juin 2017/204 consid. 2.2 ; CREC 14 septembre 2015/332 consid. 3.2). Il en va de même de toutes les prises de connaissance des courriers ou courriels qui n'impliquent qu'une lecture cursive et brève (CREC 6 juin 2017/204 consid.</w:t>
      </w:r>
    </w:p>
    <w:p>
      <w:r>
        <w:rPr>
          <w:b/>
        </w:rPr>
        <w:t>E. 3.3.1</w:t>
      </w:r>
    </w:p>
    <w:p>
      <w:r>
        <w:t>Dans un premier moyen, l’avocat X.________ considère que la réduction de son indemnité d’office opérée par le premier juge s’écarterait manifestement et de manière particulièrement sensible d’autres diminutions de frais d’avocats d’office se trouvant dans la jurisprudence. A titre d’exemples, il se réfère aux arrêts du Tribunal fédéral TF 6B_947/2008 et TF 5D_28/2014. En l’occurrence, le recourant se limite à faire état des réductions opérées par les juges fédéraux dans les causes précitées, sans mentionner plus de détails sur les affaires dont il fait référence, que ce soit</w:t>
      </w:r>
    </w:p>
    <w:p>
      <w:r>
        <w:t>- 9 - les faits, le droit ou encore la durée de la procédure, ni tirer de parallèle avec les griefs qui y auraient été soulevés. Ainsi, on ne saurait, sur cette simple base, faire un parallèle purement arithmétique avec d’autres affaires et revoir le calcul de l’indemnité effectué par le premier juge. Au demeurant, la motivation du recourant à cet égard laisse à désirer et ne paraît pas remplir les exigences prévues par l’art. 321 al. 1 CPC.</w:t>
      </w:r>
    </w:p>
    <w:p>
      <w:r>
        <w:rPr>
          <w:b/>
        </w:rPr>
        <w:t>E. 3.3.2</w:t>
      </w:r>
    </w:p>
    <w:p>
      <w:r>
        <w:t>Le recourant fait valoir que les parties ont conclu une convention sur les effets accessoires du divorce et qu’elles ont dès lors renoncé à l’allocation de dépens, si bien qu’il devrait être rémunéré équitablement par les autorités judiciaires vaudoises conformément au travail accompli effectivement. Il reproche également à l’autorité de première instance d’avoir insuffisamment motivé les raisons de la réduction de son indemnité. En l’espèce, cette argumentation ne change rien à la quotité de l’indemnité allouée par la Présidente du Tribunal civil, de sorte que le grief est vain. En effet, on ne voit pas en quoi le fait que les parties aient renoncé conventionnellement à l’allocation de dépens devrait avoir une incidence sur la quotité de l’indemnité d’office. Par ailleurs, quoi qu’en dise le recourant, la réduction opérée par l’autorité de première instance a été dûment motivée. Dans son jugement, celle-ci a en effet pris le soin de mentionner les points qu’il convenait de déduire et d’indiquer les raisons pour lesquelles elle a jugé les déductions concernées justifiées.</w:t>
      </w:r>
    </w:p>
    <w:p>
      <w:r>
        <w:rPr>
          <w:b/>
        </w:rPr>
        <w:t>E. 3.3.3</w:t>
      </w:r>
    </w:p>
    <w:p>
      <w:r>
        <w:t>Le recourant considère que la cause au fond jugée par le premier juge serait complexe. Il fait valoir qu’une demande unilatérale en divorce et des mesures provisionnelles ont été déposées, qu’une convention sur les effets accessoires de celui-ci a été signée par les parties et que des pourparlers entre celles-ci et leur conseil, notamment sur l’attribution du droit de garde et la contribution d’entretien, ont eu lieu. Il ajoute qu’il a fallu régler l’attribution du domicile conjugal et le partage de la garantie-loyer, de l’assurance-vie et des avoirs de prévoyance professionnelle, et qu’un cas de prévoyance est survenu. En particulier, Me X.________ reproche au premier juge d’avoir réduit les</w:t>
      </w:r>
    </w:p>
    <w:p>
      <w:r>
        <w:t>- 10 - opérations consacrées aux courriers et aux téléphones avec sa cliente. Il considère en outre que le temps de dix minutes consacré pour un courrier ne serait pas excessif. En premier lieu, et contrairement à ce que soutient le recourant, la procédure de divorce au fond, quand bien même elle a nécessité la mise en œuvre d’une médiation familiale, n’apparaît pas spécialement complexe. B.R.________ a notamment admis l’existence d’un motif de divorce lors de la première audience et A.R.________ a retiré sa requête de mesures provisionnelles. Par ailleurs, la majeure partie des questions délicates liées au divorce ont pu être résolues dans le cadre de la convention du 24 août 2016. De surcroît, la procédure, qui n’a duré environ qu’un an et demi, a été relativement brève. En l’occurrence, comme l’a retenu à juste titre le premier juge, il se justifie de retrancher tous les mémos, dès lors qu’il s’agit d’un pur travail de secrétariat, et les réceptions de lettres qui n’impliquent qu’une lecture cursive et brève ne dépassant pas les quelques secondes pour un avocat. En outre, au vu du grand nombre de correspondances rédigées par le recourant, il apparaît que le temps consacré à l’ensemble de celles-ci est excessif, compte tenu notamment de la nature et la relative brièveté de la procédure. A la lecture de la liste d’opérations produite, on relève environ 160 opérations, comptabilisées généralement à 5 ou 10 minutes chacune, ce qui correspond à plus de 13 heures et 30 minutes, si on prend en considération la durée minimale de 5 minutes alléguée. Autant d’opérations liées à des correspondances étaient manifestement inutiles à l’avocat d’office pour qu’il mène à bien sa mission. En effet, la moitié du temps consacré à cet égard était largement suffisant à l’avocat pour sauvegarder les intérêts de sa cliente. Cela étant, le grief du recourant, selon lequel tous les courriers ont été enregistrés à 10 minutes comme cela est l’usage largement répandu dans le barreau, n’est pas pertinent. Par ailleurs, c’est également à bon droit que le premier juge a considéré que l’avocat ne devait pas être rétribué pour des activités constituant, pour une part, à du travail social, à savoir en particulier les</w:t>
      </w:r>
    </w:p>
    <w:p>
      <w:r>
        <w:t>- 11 - nombreux entretiens téléphoniques avec la cliente (plus de 50 opérations, comptabilisées entre 5 et 20 minutes, soit environ 4 heures et 10 minutes si on tient compte de la durée minimale de 5 minutes alléguée), et qu’il a réduit, en partie, l’indemnité d’office pour ce motif. Les opérations y relatives n’étaient en effet pas nécessaires à la sauvegarde des intérêts de la cliente, dès lors qu’elles consistaient selon toute vraisemblance en un soutien moral. Au regard de ce qui précède, force est de constater que la réduction totale de 14 heures et 25 minutes opérée par le premier juge ne prête pas le flanc à la critique. Partant, le grief du recourant doit être rejeté.</w:t>
      </w:r>
    </w:p>
    <w:p>
      <w:r>
        <w:rPr>
          <w:b/>
        </w:rPr>
        <w:t>E. 3.3.4</w:t>
      </w:r>
    </w:p>
    <w:p>
      <w:r>
        <w:t>Le recourant conteste encore la réduction de ses débours et soutient qu’il aurait droit au remboursement intégral de ceux-ci. D’une part, il reproche à la Présidente du Tribunal civil de n’avoir pas pris en compte les deux déplacements des 14 septembre 2015 et 30 juin 2016 qu’il a effectués à l’Etude du mandataire de la partie adverse. A cet égard, il relève que ces vacations avaient pour objectif de tenter la conciliation et que celle-ci a abouti et donc permis d’accélérer la procédure de divorce. D’autre part, il reproche au premier juge de n’avoir pas pris en considération les frais de photocopies, à hauteur de 32 fr. 80. En l’espèce, comme l’ont retenu les premiers juges, en matière civile, il y a lieu de considérer que seuls les déplacements auprès des autorités, en particulier lors de la participation à des auditions ou à des audiences, doivent être comptabilisés, à 120 fr. par vacation. Par conséquent, on ne saurait tenir compte des deux déplacements effectués dans cette procédure par le recourant à l’Etude d’un confrère, et ce indépendamment des motifs ayant conduit à ceux-ci. Par ailleurs, il est de jurisprudence constante que les photocopies font partie des frais généraux de l’avocat. Ainsi, il est vain de reprocher à l’autorité de première instance d’avoir exclu le montant de 32 fr. 80 des débours. Au demeurant, le recourant ne prétend pas que la</w:t>
      </w:r>
    </w:p>
    <w:p>
      <w:r>
        <w:t>- 12 - facturation de ses frais de photocopies se justifierait par une exception particulière. Partant, c’est à juste titre que le premier juge a retenu 418 fr. 60 (691 fr. 40 - 272 fr. 80) à titre de débours.</w:t>
      </w:r>
    </w:p>
    <w:p>
      <w:r>
        <w:rPr>
          <w:b/>
        </w:rPr>
        <w:t>E. 3.3.5</w:t>
      </w:r>
    </w:p>
    <w:p>
      <w:r>
        <w:t>Pour le reste, les considérations d’ordre général émises aux pages 6 à 8 du recours ne concernent pas des points précis du jugement attaqué. A tout le moins, le recourant n’explique pas de manière suffisamment claire le lien entre ces considérations et le calcul opéré par le premier juge. Ainsi, il n’y a pas lieu d’entrer en matière sur ce point.</w:t>
      </w:r>
    </w:p>
    <w:p>
      <w:r>
        <w:rPr>
          <w:b/>
        </w:rPr>
        <w:t>E. 3.4</w:t>
      </w:r>
    </w:p>
    <w:p>
      <w:r>
        <w:t>En définitive, l’indemnité de 8'228 fr. 10 allouée à l’avocat X.________ en sa qualité de conseil d’office, correspondant à 40 heures d’activité au tarif horaire usuel de 180 fr., soit 7'200 fr., plus 418 fr. 60 de débours et 609 fr. 50 de TVA sur le tout, ne prête pas le flanc à la critique.</w:t>
      </w:r>
    </w:p>
    <w:p>
      <w:r>
        <w:rPr>
          <w:b/>
        </w:rPr>
        <w:t>E. 4</w:t>
      </w:r>
    </w:p>
    <w:p>
      <w:r>
        <w:t>Il résulte de ce qui précède que le recours, manifestement infondé, doit être rejeté selon le mode procédural de l’art. 322 al. 1 CPC et que la décision querellée doit être confirmée. Les frais judiciaires de deuxième instance, arrêtés à 200 fr. (art. 69 al. 1 et 70 al. 3 TFJC [Tarif des frais judiciaires civils du 28 septembre 2010 ; RSV 270.11.5]), seront mis à la charge du recourant, qui succombe (art. 106 al. 1 CPC).</w:t>
      </w:r>
    </w:p>
    <w:p>
      <w:r>
        <w:t>- 13 - Par ces motifs, la Chambre des recours civile du Tribunal cantonal, en application de l'art. 322 al. 1 CPC, prononce : I. Le recours est rejeté. II. Le jugement est confirmé. III. Les frais judiciaires de deuxième instance, arrêtés à 200 fr. (deux cents francs), sont mis à la charge du recourant X.________. IV. L’arrêt est exécutoire. La présidente : Le greffier : Du L'arrêt qui précède, dont la rédaction a été approuvée à huis clos, est notifié à :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