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TD15.052702 vom 1. Februar 2018</w:t>
      </w:r>
    </w:p>
    <w:p>
      <w:r>
        <w:t>VD Tribunal cantonal, 2018-02-01, FR</w:t>
      </w:r>
    </w:p>
    <w:p>
      <w:r>
        <w:rPr>
          <w:b/>
        </w:rPr>
        <w:t xml:space="preserve">Quelle: </w:t>
      </w:r>
      <w:r>
        <w:t>https://mcp.opencaselaw.ch/entscheid/vd_gerichte_TD15.052702</w:t>
      </w:r>
    </w:p>
    <w:p>
      <w:r>
        <w:t>FR: VD_GERICHTE TD15.052702 du 1 février 2018</w:t>
      </w:r>
    </w:p>
    <w:p>
      <w:r>
        <w:t>IT: VD_GERICHTE TD15.052702 del 1 febbraio 2018</w:t>
      </w:r>
    </w:p>
    <w:p>
      <w:pPr>
        <w:pStyle w:val="Heading2"/>
      </w:pPr>
      <w:r>
        <w:t>Erwägungen</w:t>
      </w:r>
    </w:p>
    <w:p>
      <w:r>
        <w:rPr>
          <w:b/>
        </w:rPr>
        <w:t>E. 43</w:t>
      </w:r>
    </w:p>
    <w:p>
      <w:r>
        <w:t>et les réf.). L’application stricte de l’art. 317 al. 1 CPC, y compris lorsque la maxime inquisitoire est applicable, n’a rien d’arbitraire (TF 5A_342/2013 du 27 septembre 2013 consid. 4.1.2 ; TF 5A_22/2014 du 13 mai 2014 consid. 4.2 ; TF 5A_266/2015 du 24 juin 2015 consid. 3.2.2). Dans un arrêt du 14 janvier 2016, le Tribunal fédéral a considéré qu’il n’était pas contraire au droit fédéral de déclarer irrecevables en appel de faux nova (pièces certes postérieures au jugement mais en l’occurrence similaires à des documents préexistants, relatives à la situation financière de la partie s’en prévalant) dans une procédure de divorce, alors même que la contribution d’entretien de l’enfant mineur était litigieuse (TF 5A_541/2015 du 14 janvier 2016, consid. 5.4). 2.2.2 En l’espèce, l’appelant a produit un bordereau de 5 pièces, comprenant, outre des pièces de forme (P. 1, P. 2 et P. 4), deux pièces nouvelles (P. 3 et P. 5). La pièce 3 consiste en deux courriers électroniques adressés par l’intimée à son ex-mari les 1er et 3 octobre 2017. Dès lors que ces pièces sont postérieures à la clôture de l’instruction prononcée à l’audience du 19 mai 2017, elles sont recevables. Elles sont toutefois dénuées de pertinence pour la résolution du litige, dès lors que, comme on le verra ci-après, elles ne sont pas à même d'infirmer le jugement de première instance. Leur contenu ne permet d'ailleurs pas de contester la constatation selon laquelle la mère encouragerait le lien père-fils. Quant à la pièce 5 intitulée « tabelle officielle du coût de la vie », l’appelant n’indique pas en quoi il aurait été dans l’impossibilité de la produire en première instance. Elle est dès lors irrecevable. La question de savoir si le niveau de vie relève du fait notoire, qui n’aurait partant pas à être prouvé, sera examinée sous consid. 6.3 ci-dessous.</w:t>
      </w:r>
    </w:p>
    <w:p>
      <w:r>
        <w:t>- 21 - 2.3 2.3.1 A titre de mesure d'instruction, l'appelant demande l'audition des enfants, l'audition en qualité de témoin-expert de l'assistante sociale du SPJ ayant rendu le rapport d'évaluation et l'audition en qualité de témoin des deux pédopsychiatres assurant le suivi des enfants. Pour l'appelant, si ces éléments ne devaient pas correspondre ou ne devaient pas permettre d'expliquer le contenu du rapport d'évaluation, un nouveau rapport devrait être rendu par les institutions compétentes. 2.3.2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 TF 5A_906/2012 du 18 avril 2013 consid. 5.1.2 ; TF 5A_695/2012 du 20 mars 2013 consid. 4.1.1). Une expertise revêt une valeur probante lorsqu'elle est complète, compréhensible et concluante. Le tribunal doit examiner si l'expertise répond à toutes les questions en se basant sur les faits pertinents et procéder à une appréciation du résultat auquel parvient</w:t>
      </w:r>
    </w:p>
    <w:p>
      <w:r>
        <w:t>- 22 - l'expert. Le juge doit s'en tenir à la version retenue par l'expert, à moins que ses conclusions reposent sur des constatations manifestement inexactes ou contradictoires. Il ne peut s'écarter des conclusions de l'expert qu'en présence de raisons majeures,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(TF 5A_485/2012 du 11 septembre 2012 consid. 4.1 ; ATF 110 lb 42 consid. 2 ; ATF 101 lb 405 consid. 3b/aa). 2.3.3 En l’espèce, il ressort du procès-verbal de l'audience de premières plaidoiries du 18 novembre 2016 que pour les allégués prouvés par audition des enfants, les parties ont déclaré se satisfaire du rapport à rendre par le SPJ. L'appelant est donc malvenu de réclamer au stade de l'appel l'audition des enfants, lors même qu'il y a renoncé en première instance, hors mandat d’évaluation du SPJ. En outre, il convient d'éviter de procéder à une audition pour la forme. Une multiplication des auditions doit en particulier être évitée si elle constitue une charge excessive pour l'enfant, ce qui peut notamment être le cas lors de graves conflits de loyauté – ce qui est le cas en l'espèce – et lorsqu'il n'y a pas lieu de s'attendre à de nouvelles informations ou lorsque le bénéfice attendu n'est pas proportionnel à la charge que représenterait la nouvelle audition. S'agissant de l'audition de l'assistante sociale ayant rendu le rapport, il n'y a pas lieu d'y donner suite, en ce sens que le rapport du SPJ est complet et peut être suivi en l'état. Les explications données par l'appelant, qui sont calquées sur celles exprimées dans ses déterminations du 17 mai 2017 en première instance, ne permettent pas de retenir qu'il y aurait lieu de s'écarter des conclusions du rapport du SPJ, au sens de la jurisprudence rappelée ci-dessus. Aucune démonstration n'est entreprise dans ce sens, ce qu'il appartenait pourtant à l’appelant de faire ; à ce titre, il est insuffisant de relever des prétendues incohérences du rapport du SPJ, lesquelles consistent pour l'appelant en des omissions d'éléments factuels en défaveur de l'intimée, telles le fait que les enfants visionnent</w:t>
      </w:r>
    </w:p>
    <w:p>
      <w:r>
        <w:t>- 23 - aussi des vidéos pour plus de 18 ans chez leur mère, que celle-ci et son mari ont dénigré à plusieurs reprises l'appelant ou que l'environnement mis en place pour les enfants chez le père est aussi stable et sain que celui de la mère. La même conclusion que celle relative à l'audition de l'assistante sociale s'impose en ce qui concerne l'audition des pédopsychiatres des enfants, dès lors que ce moyen de preuve est requis afin de permettre d'expliquer le contenu du rapport d'évaluation. En conséquence, il y a lieu de rejeter la requête de l'appelant. Pour les mêmes motifs, il y a lieu de rejeter les requêtes formulées par l’intimée dans son courrier du 16 janvier 2018. 3. 3.1 L’appelant, qui fait valoir en substance que le jugement querellé suivrait un chemin peu clair, voire incompréhensible, fait d’abord grief aux premiers juges d’avoir violé son droit d’être entendu, sous l'angle de la motivation. Pour l'appelant, la décision se limiterait à examiner la position de l’intimée et passerait totalement sous silence sa propre situation. Il n'aurait ainsi eu droit qu'à une ligne, indiquant que l'instruction avait révélé des carences éducatives avérées en ce qui le concernait, le jugement ne contenant toutefois aucune motivation s’agissant des carences éducatives évoquées. L'appelant se plaint aussi du fait que le jugement de première instance retiendrait que l’intimée a adhéré aux rapports des services de protection de la jeunesse, sans toutefois considérer les oppositions formulées par l'appelant. De plus, l'appelant avait demandé que plusieurs mesures d'instructions soient mises en oeuvre, sans que l’autorité intimée y ait donné suite et ait encore moins motivé son refus. L'appelant ajoute que la violation du droit d'être entendu pourrait être réparée par l'examen par la Cour d'appel civile des critiques portées à l'encontre du rapport du SPJ et par la mise en oeuvre des mesures d'instructions proposées.</w:t>
      </w:r>
    </w:p>
    <w:p>
      <w:r>
        <w:t>- 24 - 3.2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w:t>
      </w:r>
    </w:p>
    <w:p>
      <w:r>
        <w:t>- 25 - consid. 5.1 ;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66_726/2010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 3.3 En l’espèce, les enfants B.X.________ et C.X.________ ont été entendus par le SPJ, seuls, au domicile paternel, le 27 octobre 2016. Il ressort de cet entretien que l'environnement de vie dans lequel ils évoluent présente des lacunes éducatives et de surveillance. Les enfants ne dormiraient pas assez, visionneraient des vidéos sur internet et joueraient à des jeux électroniques réservés aux plus de 18 ans. L'appelant a été entendu à plusieurs reprises par le SPJ. Il ressort de ses déclarations que tous les matins, un taxi vient chercher les enfants au bas de la maison à 7h15, l'appelant n'étant alors plus à la maison, qu'il quitte à 5h45. Les habits des enfants sont préparés la veille. L'appelant a également indiqué que s'il obtenait la garde des enfants, il serait favorable à ce qu'une mesure soit confiée au SPJ, afin de le guider dans son rôle parental, expliquant qu’il se sentait perdu et qu’il n’avait peut-être pas les outils. Les carences relevées par le SPJ se rapportent au fait que les enfants sont seuls au lever, qu’ils manquent d’heures de sommeil, qu'ils visionnent de façon inadéquate des vidéos et jouent à des jeux électroniques interdits au moins de 18 ans et au fait que leur comportement et intégration sont difficiles à l'école. Il est indiqué dans le rapport que l'appelant s'est montré collaborant et demandeur d'aide après le dépôt du rapport intermédiaire, ne se « doutant pas que les enfants allaient si mal ».</w:t>
      </w:r>
    </w:p>
    <w:p>
      <w:r>
        <w:t>- 26 - Le raisonnement des premiers juges est exempt de tout reproche, en ce sens qu'ils étaient légitimés, comme indiqué ci-dessus, à se référer au contenu des rapports figurant aux dossiers, soit ceux du SPJ et celui du Service de l'aide sociale à l'enfant de [...]. L'appelant reproche aux premiers juges de ne pas avoir expliqué en quoi il présente des carences éducatives, ce dont il lui est fait grief. Or, force est de constater que ces carences sont développées par le SPJ dans son rapport du 31 janvier 2017, rapport auquel les magistrats se sont précisément référés. On ne discerne à cet égard aucun défaut de motivation. Au demeurant, si les premiers juges n'ont pas fait état des mesures d'instruction complémentaires requises en première instance, ce point a pu être tranché en procédure d'appel, réparant ainsi la violation dénoncée par l'appelant. Enfin, l'appelant reproche aux premiers juges de ne pas avoir considéré sa prise de position se rapportant aux rapports du SPJ et à celui de son homologue français versé à la procédure. Dans la mesure où l'appelant a pu s'exprimer sur les documents en question, son droit d'être entendu a été respecté ; l'autorité précédente n’était pas tenue de répondre à chaque point soulevé par l'appelant, l'exigence de motivation n'allant pas aussi loin. Mal fondé, le grief sera ainsi rejeté. 4. 4.1 Revenant sur le transfert du lieu de résidence des enfants en France, survenu alors que la situation était conflictuelle entre les parents et difficile à vivre pour les enfants, l’appelant fait valoir que ces derniers seraient aujourd’hui heureux chez leur père et bénéficieraient d’un cadre adapté à leurs besoins. Il soutient que la décision entreprise se bornerait à cet égard à indiquer qu’il présenterait des carences éducatives avérées,</w:t>
      </w:r>
    </w:p>
    <w:p>
      <w:r>
        <w:t>- 27 - sans toutefois en faire l'examen ni les détailler, ces carences étant au demeurant contestées. En particulier, les enfants seraient suivis par un pédopsychiatre qui s'assurerait de leur bien-être et auraient développé, depuis 2015, un environnement social auquel ils seraient très attachés. Ils entretiendraient notamment avec les membres de la famille paternelle de très bons rapports. L'appelant reproche ainsi au SPJ d'avoir fait l'impasse sur bons nombres d'éléments positifs et soutient que les carences éducatives reprochées n'apparaîtraient pas fondées. Il remet aussi en cause le fait qu’il ne se montrerait pas adéquat avec l’intimée, en mettant en exergue les propos dénigrants tenus par l'intimée, ce qui ne pourrait pas plaider en faveur d'un comportement avenant de l'intimée à son égard. Ainsi, pour l'appelant, le maintien du lien père-fils par la mère apparaîtrait très peu vraisemblable. 4.2 Selon l’art. 134 CC (Code civil suisse du 10 décembre 1907 ; RS 210),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par les art. 270 ss CC.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 elle doit aussi être commandée par le bien de l'enfant (TF 5A_697/2009 du 4 mars 2010 consid. 3, in FamPra.ch 2010 p. 466). Selon la jurisprudence relative à l'art. 157 aCC, laquelle reste pleinement applicable sur ce point, la modification ne peut être envisagée que si le maintien de la réglementation actuelle risque de porter atteinte au bien de l'enfant et le menace sérieusement : la nouvelle réglementation doit ainsi s'imposer impérativement, en ce sens que le mode de vie actuel nuit plus</w:t>
      </w:r>
    </w:p>
    <w:p>
      <w:r>
        <w:t>- 28 - au bien de l'enfant que le changement de réglementation et la perte de continuité dans l'éducation et les conditions de vie qui en est consécutive (TF 5A_63/2011 du 1er juin 2011 consid. 2.4.1 ; TF 5C.32/2007 du 10 mai 2007 consid. 4.1, in FramPra.ch 2007 p. 496 ; TF 5C.63/2005 du 1er juin 2005 consid. 2, non publié aux ATF 131 III 553 et la jurisprudence citée).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(TF 5A_63/2011 du 1er juin 2011 consid. 2.4.1 ; TF 5A_107/2007 du 16 novembre 2007 consid. 3.2, in FamPra.ch 2008 p. 429 et la référence citée) – permettent d'en tenir compte (TF 5A_107/2007 précité consid. 3.2 et les références). L'art.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(TF 5A_781/2015 du 14 mars 2016 consid. 3.2.2 ; TF 5A_428/2014 du 22 juillet 2014 consid. 6.2 ; TF 5A_63/2011 du 1er juin 2011 consid. 2.4.1; TF 5C.63/2005 du 1er juin 2005 consid. 2, non publié aux ATF 131 III 553). Le juge appelé à se prononcer sur le fond qui, par son expérience en la matière, connaît mieux les parties et le milieu dans lequel l'enfant est amené à vivre, dispose d'un large pouvoir</w:t>
      </w:r>
    </w:p>
    <w:p>
      <w:r>
        <w:t>- 29 - d'appréciation (ATF 117 II 353 consid. 2 ; TF 5A.860/2009 du 26 mars 2010 consid. 3.1). 4.3 En l’espèce, le déménagement de l'intimée et des deux enfants en France a eu lieu avec l'accord du père, ce qui a été reconnu par voie judiciaire après que le père eut ramené les enfants auprès de lui en Suisse, celui-ci s'étant alors basé sur une première décision judiciaire reconnaissant le caractère illicite du déplacement des enfants. La garde, confiée d'un commun accord à la mère lors du divorce, se passait bien. Rétrospectivement, sur la base des éléments au dossier, il ressort que les enfants étaient légitimés à suivre leur mère en France, puisqu'elle avait le consentement du père. Si celui-ci n'avait pas faussement affirmé le contraire et obtenu la première décision judiciaire, qui a été cassée en deuxième instance, la garde aurait été maintenue auprès de la mère, aucun grief n'ayant été formulé sur la manière dont celle-ci exerçait cette garde. Il y a donc lieu de relativiser les efforts entrepris par le père pour que les enfants évoluent favorablement auprès de lui, puisque cette situation, imposée unilatéralement, est contraire à ce que les parties avaient convenu d'un commun accord lors du divorce. Il y a lieu de rétablir la situation telle qu'elle aurait dû être depuis plusieurs années, rien ne s'y opposant au regard de l'environnement toujours favorable offert par la mère, tel que cela a été attesté par le rapport des autorités françaises. A cela s'ajoute, comme l'ont relevé à juste titre les premiers juges, que sur certains points la situation n'est pas optimale chez le père, même si celui- ci a pris les dispositions nécessaires pour que la situation des enfants soit positive – ce qui doit être reconnu –, mais ce qui ne saurait suffire à empêcher un rétablissement de la situation telle qu'elle aurait dû être depuis le départ. On ne peut en particulier pas occulter que le père n'est pas à même de s'occuper le matin de ses deux enfants, lesquels sont livrés à eux-mêmes, aspect qui ressort aussi du visionnage de certains sites sur internet. On ne saurait donc suivre l'appelant lorsqu'il soutient que les carences éducatives qui lui sont reprochées n'apparaîtraient pas fondées. S'il apparaît que les enfants auraient aussi accès à des jeux électroniques pour plus de 18 ans chez leur mère, celle-ci ne travaille pas et sa plus grande disponibilité lui permettra de cadrer plus facilement les</w:t>
      </w:r>
    </w:p>
    <w:p>
      <w:r>
        <w:t>- 30 - enfants, celle-ci étant à cet égard rendue attentive au danger qu'une telle situation est susceptible de provoquer. L'appelant a reconnu ne pas s'être rendu compte que les enfants allaient si mal, reconnaissant ainsi la situation dans laquelle ils se trouvaient du fait de ce qu'ils vivaient. Les faire suivre par des pédopsychiatres relevait certes d'une bonne réaction du père, mais cela ne saurait suffire à empêcher un rétablissement de la situation telle qu'elle aurait dû être depuis le départ. S'agissant de l'avis exprimé par C.X.________, âgé de neuf ans, sur lequel revient l'appelant dans ses critiques exprimées en lien avec les rapports SPJ, il ne saurait être décisif au vu du conflit de loyauté dans lequel celui-ci se trouve. Par ailleurs, l'audition d'un jeune enfant vise avant tout à permettre de se faire une idée personnelle et de disposer d'une source de renseignements supplémentaires, le jeune enfant n'étant pas encore en mesure de s'exprimer sans faire abstraction de facteurs d'influence immédiats et extérieurs, ni de formuler une volonté stable (ATF 133 III 146 consid. 2.6 ; ATF 131 III 553 consid. 1.2.2 ; TF 5A_554/2014 du 21 octobre 2014 consid. 5.1.2, RSPC 2015 p. 46 ; TF 5A_714/2015 du 20 avril 2016 consid. 4.2.2 ; TF 5A_971/2015 du 30 juin 2016 consid. 5.1, FamPra.ch 2016 p. 1071). Sur la question de la capacité de chaque parent à favoriser les contacts entre l'enfant et l'autre parent, force est de constater que l'appelant occulte dans sa démonstration l'épisode de Noël 2016, relevé par le SPJ dans son rapport du 31 janvier 2017, où l’appelant avait refusé que les enfants se rendent en France, et stigmatise le comportement de la seule intimée. A supposer que l'on suive l'appelant, cela ne permettrait pas d'aboutir à un résultat différent, en ce sens que les deux parents adopteraient au final un comportement équivalent, ce qui ne permettrait pas de trancher sous l'angle du critère ici discuté. A cela s'ajoute que si l'on voit que des difficultés entre les parties ont jalonné la procédure et que des griefs peuvent être formulés à l'égard des deux parties, on peut aussi voir que des conventions ont pu être signées, les parties ayant réussi à trouver un terrain d'entente sur certains points ponctuels, ce qui pourrait</w:t>
      </w:r>
    </w:p>
    <w:p>
      <w:r>
        <w:t>- 31 - aussi laisser penser qu'elles sont toutes deux aptes à trouver des solutions compromissoires, favorables à un bon développement des enfants. En définitive, le jugement peut être en tout point confirmé, les magistrats ayant justement relevé que, dans l'intérêt des enfants, il convenait de restituer à l’intimée la garde sur les enfants, cette attribution correspondant à celle décidée par les parties dans leur jugement de divorce qui se voit ainsi confirmé. On rappellera à cet égard que, selon la jurisprudence, seuls des faits nouveaux, importants et durables, peuvent justifier une modification de la situation créée par le jugement de divorce et que le magistrat doit faire preuve d'une certaine retenue lors qu'il s'agit de déterminer si les circonstances de fait invoquées justifient, pour la durée de la procédure, une modification dans l'attribution du droit de déterminer le lieu de résidence telle qu'elle a été décidée à l'issue de la procédure de divorce (TF 5A_580/2012 du 8 novembre 2012 consid. 3.3.3). Le grief est dès lors infondé. 5. 5.1 L’appelant dénonce une violation des maximes d’instruction, soit la maxime inquisitoire et la maxime d’office. Il allègue des incohérences ou, plutôt, des inégalités de traitement qui ressortiraient du rapport du SPJ, et soutient que, dans ces conditions, un complément à ce rapport aurait dû être exigé d’office. Il mentionne que s'il est relevé, dans la partie synthèse et discussion du rapport du SPJ, un visionnage inadéquat de vidéos lors de l'exercice de la garde par le père, le fait que les enfants aient les mêmes accès à internet et à des jeux-vidéos pour plus de 18 ans auprès de leur mère est occulté. De même, l'appelant relève que le rapport indique que l'intimée s'est fortement mobilisée pour honorer son droit de visite, sans que soient mis en exergue les efforts fournis par l'appelant afin que ses enfants s'intègrent, aient un cadre éducatif et se plaisent chez lui et dans la région. De surcroît, il n'est pas fait état du cadre de vie des enfants chez leur père, alors qu'il est retenu que la mère offre un cadre de vie stable et sain. L’appelant conteste en outre que le droit de visite de</w:t>
      </w:r>
    </w:p>
    <w:p>
      <w:r>
        <w:t>- 32 - l'intimée soit exercé régulièrement, ainsi que le fait que l'intimée encourage le lien père-fils, et s'étonne que rien n'ait été dit sur le désir exprimé par C.X.________, les deux années passées chez leur père et la contre-indication à les arracher une nouvelle fois de leur lieu de vie, stable et rassurant. Enfin, la proposition du SPJ d'encourager l'appelant à trouver un hébergement proche du domicile de l'intimée serait paraxodale, en ce sens que l'intimée serait bien plus encline à pouvoir procéder de la sorte si la garde était attribuée à l'appelant. 5.2 S'agissant des questions relatives aux enfants, la maxime inquisitoire illimitée (art. 296 al. 1 CPC) et, en sus, la maxime d'office (art. 296 al. 3 CPC) sont applicables. En présence d'enfants mineurs, la maxime d'office s'applique à l'objet du procès et la maxime inquisitoire à l'établissement des faits. Cependant, la maxime inquisitoire ne dispense pas les parties de collaborer et il leur incombe de renseigner le juge sur les faits de la cause et de lui indiquer les moyens de preuve disponibles (ATF 130 III 102 consid. 2.2 ; Haldy, CPC commenté, n. 7 ad art. 55 CPC). 5.3 En l’espèce, les éléments mis en avant par l'appelant et résumés ci-dessus ne permettent pas de retenir que le rapport du SPJ ne pourrait pas être suivi dans ses conclusions et ne justifient pas qu'un complément d'expertise ou qu'une nouvelle expertise soient ordonnés d'office, de sorte qu'un tel grief ne saurait être formulé à l'encontre des premiers juges. Ces éléments ne révèlent pas que les conclusions du SPJ reposeraient sur des constatations manifestement inexactes ou contradictoires, voire encore que le rapport contiendraient des contradictions ou des constations factuelles erronées ou des lacunes. On notera d'ailleurs que les propos tenus par les enfants apparaissent dans le rapport du SPJ, de même que le point de vue de chaque parent, dont celui de l'intimée. A également été joint au rapport, en annexe, l'envoi du Directeur de l'Etablissement primaire et secondaire [...], où des points positifs ressortent s'agissant de l'appelant ; il y est notamment indiqué que les devoirs à domicile sont parfaitement exécutés et que le papa s'investit beaucoup, aide C.X.________, vérifie que le travail soit fait correctement et semble très présent. On ne saurait donc dire que ces</w:t>
      </w:r>
    </w:p>
    <w:p>
      <w:r>
        <w:t>- 33 - éléments ont été occultés. Enfin, l'appelant n'a pas établi que le droit de visite n'était pas exercé par l'intimée, rien au dossier ne permettant de le dire de façon contraire à ce qui ressort du rapport SPJ. On ne discerne dès lors aucune violation des maximes d'instruction applicables en l'espèce. Pour le surplus, il a été démontré au considérant 4.3 ci-dessus que les éléments ici mis en avant par l'appelant ne sauraient amener à un résultat différent. Il est renvoyé à ce sujet au considérant en question. 6. 6.1 L'appelant remet en cause la détermination de la contribution d'entretien. Il soutient que le niveau de vie serait un fait notoire, si bien qu’on ne saurait lui reprocher de n’avoir pas démontré que les coûts de la vie en France étaient moindres et qu'ils influaient sur la contribution d'entretien en faveur des enfants. 6.2 En procédure civile vaudoise et aussi selon le code unifié, la preuve des faits notoires n'est pas nécessaire (art. 4 al. 2 aCPC-VD ; art. 151 CPC). Selon un arrêt du Tribunal fédéral relatif à l'art. 67 LP (ATF 135 III 88 consid. 4.1) et selon la doctrine semble-t-il unanime (Franz Hasenböhler, in Kommentar zur schweizerischen Zivilprozessordnung (ZPO), Sutter Somm/Hasenböhler/ Leuenberger et al., 3e éd., Zurich 2016, n° 3c ad art. 151 CPC ; cf. aussi Christian Leu, in Schweizerische Zivilprozessordnung (Dike-Kommentar zur ZPO), Alexander Brunner et al., 2e éd., Zürich/St-Gallen 2016, n° 7 ad art. 151 CPC ; Jürgen Brönnimann, in Commentaire bernois, 2012, n° 8 ad art. 151 CPC ; Nicolas Passadelis, in Schweizerische Zivilprozessordnung, Baker &amp; McKenzie, éd., 2010, n° 7 ad art. 151 CPC ; Corboz, Commentaire de la LTF, 2e éd., Berne 2014, n° 13b ad art. 99 LTF; Hohl, Procédure civile, tome I, 2e éd, Berne 2016, n° 1615 p. 269), il n'est pas non plus nécessaire d'alléguer ces faits. Le régime spécifique et privilégié des faits notoires a pour but d'alléger le processus d'administration des preuves et d'accélérer le cours de la procédure dans le monde des évidences, là où une preuve formelle</w:t>
      </w:r>
    </w:p>
    <w:p>
      <w:r>
        <w:t>- 34 - n'apporterait rien de plus que ce que, déjà, le juge sait ou est censé savoir (Schweizer, in CPC commenté, François Bohnet et al., éd., Bâle 2011, nos 1 et 2 ad art. 151 CPC). Les faits qui peuvent être connus de tous et contrôlés par des moyens accessibles à chacun sont notoires (ATF 135 III 88 consid. 4.1 relatif à l'art. 67 LP ; ATF 134 III 224 consid. 5.2 relatif à la procédure civile genevoise). Selon une contribution doctrinale, n'importe quel renseignement accessible à chacun n'est pas pour autant un fait notoire ; lorsqu'une recherche est nécessaire, en particulier dans une bibliothèque, sur internet ou par l'interrogation de tiers, cette recherche incombe à la partie chargée du fardeau de la preuve et le fait qu'elle doit mettre en évidence n'est pas notoire (Corboz, op. cit., n° 13b ad art. 99 LTF). Ainsi, un taux d'intérêt qui faisait référence sur le marché des capitaux mais n'était pas immédiatement accessible par la consultation d'un document dont chacun dispose, tel un calendrier ou un dictionnaire courant, n'a pas été jugé notoire (ATF 134 III 224 consid. 5.2). Selon une jurisprudence bien plus récente (TF 6B_986/2016 du 20 septembre 2017, destiné à la publication, consid. 1.2),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6.3 En l’espèce, les premiers juges ont retenu que le demandeur n'avait nullement établi ni rendu vraisemblable que les circonstances avaient changé de manière importante et durable depuis le prononcé du divorce des parties le 17 décembre 2013, tant s'agissant de ses revenus et charges que du minimum vital de l’intimée et du coût de l'entretien convenable des enfants, si bien qu’il ne se justifiait pas de revoir le montant des contributions d'entretien dues en faveur de chacun de ses fils. En effet, l’appelant s’était borné à alléguer que le coût de la vie était moindre en France qu'en Suisse, mais il ne l'établissait pas. En outre, sa situation financière ne s’était pas péjorée, bien au contraire, puisqu'il réalisait à ce jour un revenu mensuel brut de 4'680 fr. pour un taux</w:t>
      </w:r>
    </w:p>
    <w:p>
      <w:r>
        <w:t>- 35 - d'activité de 80%, alors qu'à l'époque du divorce, il avait été retenu qu'il percevait un revenu mensuel net de 4'700 fr. pour un taux d’activité de 100%. Quoi qu'en dise l'appelant, il paraît douteux, au regard de la jurisprudence citée ci-dessus, que le niveau de vie relève du fait notoire, dès lors qu'il y a lieu de se référer aux indices publiés par les grandes banques ou au comparateur de prix de l'Office fédéral de la statistique, ces données n'étant donc pas accessibles après consultation d'un document dont chacun dispose. Le comparateur de prix de l’OFS paraît donner des renseignements au sens de l’arrêt TF 6B_986/2016 précité. Au reste, il y a lieu de relever, avec les premiers juges, que ce n'est que si la charge d'entretien devient déséquilibrée entre les deux parents, en particulier si cette charge devient excessivement lourde pour le parent débirentier qui aurait une condition modeste, qu'une modification de la contribution peut entrer en considération (ATF 134 III 337 consid. 2.2.2). Or, tel n'est pas le cas en l'espèce, un tel déséquilibre n'ayant pas été démontré. Bien au contraire, la situation de l'appelant s'est améliorée, puisqu'il réalise un revenu mensuel brut de 4'680 fr. pour un taux d'activité de 80%, alors qu'à l'époque du divorce, il a été retenu qu'il percevait un revenu mensuel net de 4'700 fr. pour un taux d’activité de 100%. Au vu de la jurisprudence précitée, il n’y a pas lieu, dans l’intérêt bien compris des enfants, de modifier les montants retenus par le juge du divorce en décembre 2013. 7. 7.1 L’appelant conteste enfin l’octroi de pleins dépens en faveur de la partie adverse, faisant valoir qu’il aurait obtenu gain de cause sur toutes les décisions provisionnelles et qu’il y aurait donc lieu d’en tenir compte dans le calcul des dépens. 7.2 A teneur de l'art. 104 al. 1 CPC, le tribunal statue en règle générale sur les frais dans la décision finale ; la décision sur les frais des</w:t>
      </w:r>
    </w:p>
    <w:p>
      <w:r>
        <w:t>- 36 - mesures provisionnelles peut notamment être renvoyée à la décision finale (art. 107 al. 2 CPC). Les frais, qui comprennent les frais judiciaires et les dépens (art. 95 al. 1 CPC), sont mis à la charge de la partie succombante ; il s’agit du demandeur lorsque le tribunal n'entre pas en matière et en cas de désistement d'action et du défendeur en cas d'acquiescement (art. 106 al. 1 CPC). Selon l’art. 106 al. 2 CPC, lorsqu’aucune des parties n’obtient entièrement gain de cause, les frais sont répartis selon le sort de la cause (art. 106 al. 2 CPC). Cette disposition confère au juge un large pouvoir d'appréciation. Celui-ci peut en particulier prendre en compte l'importance des conclusions sur lesquelles gagne une partie dans l'ensemble du litige, comme du fait qu'une partie gagne sur une question de principe, sinon sur la quotité. En application de l'art. 107 al. 1 CPC, le tribunal peut s'écarter des règles générales et répartir les frais selon sa libre appréciation, notamment lorsque le litige relève du droit de la famille (let. c). Très large, la règle de l'art. 107 al. 1 let. c CPC permet une répartition en équité même lorsque le procès reste fondé sur le modèle classique de parties opposées. L'art. 107 al. 1 let. c CPC est de nature potestative, le tribunal disposant d'un large pouvoir d'appréciation non seulement quant à la manière dont les frais sont répartis, mais également quant aux dérogations à la règle générale de l'art. 106 CPC (ATF 139 III 358 consid. 3, SJ 2014 1 150 ; TF 5D_55/2015 du 1er décembre 2015 consid. 2.3.3). Il n'est ainsi pas exclu, dans une procédure relevant du droit de la famille, que la partie qui obtient gain de cause soit condamnée à supporter des frais (TF 5D_199/2015 du 5 avril 2016 consid. 4.4 ; TF 5A_398/2015 du 24 novembre 2015 consid. 5.1 ; TF 5D_76/2012 du 11 septembre 2012 consid. 4.4) ou que les frais soient répartis par moitié et aucuns dépens alloués dans un litige relatif pour l'essentiel au sort et à l'attribution des enfants (TF 5A_321/2014 du 20 août 2014 consid. 2.3). 7.3 En l’espèce, il y a eu, dans le cadre des mesures provisionnelles, des conventions signées par les deux parties (convention du 22 décembre 2015 ; convention du 8 juillet 2016 ; convention du 21 mars 2017). L'appelant n'a pas obtenu toutes les fois gain de cause,</w:t>
      </w:r>
    </w:p>
    <w:p>
      <w:r>
        <w:t>- 37 - puisque par ordonnance de mesures superprovisionnelles du 21 décembre 2016, la Présidente du Tribunal d’arrondissement a partiellement fait droit aux conclusions superprovisionnelles prises par la défenderesse en ce qui concerne l’exercice de son droit de visite lors des vacances de Noël 2016 (cf. jugement ch. 29 p. 11). Il est donc erroné de soutenir, comme le fait l'appelant, que celui-ci aurait obtenu gain de cause s’agissant de toutes les décisions sur mesures provisoires. A cela s'ajoute que les magistrats ont, en cette matière, un large pouvoir d'appréciation et qu'en droit de la famille une répartition en équité est spécialement prévue à l'art. 107 al. 1 let. c CPC. L'application de cette disposition permet en l’occurrence de confirmer la répartition des dépens telle qu'arrêtée par les premiers juges, répartition largement justifiée au regard du résultat global de la cause, puisque l’appelant voit ses conclusions en modification du jugement de divorce entièrement rejetées. 8. 8.1 En définitive, l’appel doit être rejeté selon le mode procédural de l’art. 312 al. 1 CPC et le jugement entrepris confirmé. 8.2 8.2.1 Les conditions de l’art. 117 CPC étant réunies, l’assistance judiciaire sera accordée à l’appelant pour la procédure de deuxième instance, l’avocat Damien Hottelier étant désigné en qualité de conseil d’office. L’appelant sera astreint au versement d’une franchise mensuelle de 50 fr. dès et y compris le 1er mars 2018 en mains du Service juridique et législatif du Canton de Vaud en application de l'art. 123 CPC (art. 5 RAJ [règlement sur l'assistance judiciaire en matière civile du 7 décembre 2010, RSV 211.02.3]). 8.2.2 La requête de retrait de l’effet suspensif déposée par l’intimée apparaissant d’emblée dépourvue de chance de succès, le bénéfice de l’assistance judiciaire requis par l’intimée dans ce cadre lui sera refusé. 8.3</w:t>
      </w:r>
    </w:p>
    <w:p>
      <w:r>
        <w:t>- 38 - 8.3.1 Les frais judiciaires de deuxième instance, arrêtés à 600 fr. en ce qui concerne l’émolument forfaitaire de décision (art. 63 al. 1 TFJC [tarif des frais judiciaires civils du 28 septembre 2010 ; RSV 270.11.5]), seront supportés par l’appelant, qui succombe (art. 106 al. 1 CPC), et laissés provisoirement à la charge de l’Etat (art. 122 al. 1 let. b CPC). 8.3.2 Les frais de l’ordonnance statuant sur le retrait de l’effet suspensif, par 200 fr. (art. 7 et 60 TFJC par analogie), seront mis à la charge de l’intimée, qui succombe entièrement dans cette procédure (art. 106 al. 1 CPC). 8.4 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Dans sa liste des opérations du 18 décembre 2017, l’avocat Damien Hottelier indique avoir consacré 14h37 à la procédure, dont 5h00 le 27 octobre 2017 et 5h50 le 30 octobre 2017 à la rédaction de l’appel, ce qui apparaît excessif, l’acte comportant 12 pages et reprenant en grande partie le contenu de l’écriture déposée le 17 mai 2017 par l’appelant devant le premier juge en relation avec les rapports déposés par le SPJ et son homologue français. Compte tenu de ce qui précède, 4h00 de travail pour la rédaction de l’appel apparaissent suffisants, le décompte devant ainsi être réduit de 6h50 et devant en définitive être admis à concurrence de 7h47, arrondi à 7h50. Il s’ensuit qu’au tarif horaire de 180 fr. hors TVA (art. 2 al. 1 let. a et b RAJ), l’indemnité de Me Hottelier sera arrêtée à 1'410 fr., plus 34 fr. 60 à titre de débours. Les opérations ayant été effectuées avant le 1er janvier 2018, on appliquera un taux de 8% sur le tout (115 fr. 55), soit une indemnité totale de 1'560 fr. 15.</w:t>
      </w:r>
    </w:p>
    <w:p>
      <w:r>
        <w:t>- 39 - Le bénéficiaire de l’assistance judiciaire est, dans la mesure de l’art. 123 CPC, tenu au remboursement des frais et de l’indemnité au conseil d’office mis provisoirement à la charge de l’Etat. 8.5 Il n’y a pas lieu à l’allocation de dépens de deuxième instance, l’intimée n’ayant pas été invitée à se déterminer sur l’appel et l’appelant n’ayant de son côté pas été invité à déposer des déterminations en ce qui concerne la requête de retrait d’effet suspensif déposée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