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TD15.044150 vom 9. Dezember 2021</w:t>
      </w:r>
    </w:p>
    <w:p>
      <w:r>
        <w:t>VD Tribunal cantonal, 2021-12-09, FR</w:t>
      </w:r>
    </w:p>
    <w:p>
      <w:r>
        <w:rPr>
          <w:b/>
        </w:rPr>
        <w:t xml:space="preserve">Quelle: </w:t>
      </w:r>
      <w:r>
        <w:t>https://mcp.opencaselaw.ch/entscheid/vd_gerichte_TD15.044150</w:t>
      </w:r>
    </w:p>
    <w:p>
      <w:r>
        <w:t>FR: VD_GERICHTE TD15.044150 du 9 décembre 2021</w:t>
      </w:r>
    </w:p>
    <w:p>
      <w:r>
        <w:t>IT: VD_GERICHTE TD15.044150 del 9 dicembre 2021</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w:t>
      </w:r>
    </w:p>
    <w:p>
      <w:r>
        <w:t>- 28 - dix jours (art. 314 al. 1 CPC). L'appel relève de la compétence d'un juge unique (art. 84 al. 2 LOJV [Loi d'organisation judicaire du 12 décembre 1979; RSV 173.01]). Formés en temps utile par des parties qui ont un intérêt digne de protection et portant sur des mesures portant sur des montants supérieurs à 10'000 fr., les appels sont recevables.</w:t>
      </w:r>
    </w:p>
    <w:p>
      <w:r>
        <w:rPr>
          <w:b/>
        </w:rPr>
        <w:t>E. 1.2</w:t>
      </w:r>
    </w:p>
    <w:p>
      <w:r>
        <w:t>L’intimée conclut à l’irrecevabilité de l’appel déposé contre l’ordonnance 2. Elle soutient que les mesures qui y sont ordonnées ne seraient pas dirigées contre l’appelant et que partant il n’a pas d’intérêt à agir. Si l'intérêt digne de protection à agir constitue certes l'une des conditions générales de recevabilité d'une action (art. 59 al. 2 let. a CPC), l’intimée ne saurait être suivie sur ce point, puisque l’ordonnance 2 est totalement liée à l’ordonnance 1 attaquée – pour laquelle l’intérêt de l’appelant est manifeste – en ce sens que l’admission de son appel contre l’ordonnance 1 entraînerait de facto l’admission de l’ordonnance 2. Cela suffit à reconnaître un intérêt à l’appel.</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[ci-après : CR-CPC], nn. 2 ss ad art. 310 CPC). Elle peut revoir librement l’appréciation des faits sur la base des preuves administrées en première instance (idem, n. 6 ad art. 310 CPC). Le juge statue sur la base de la simple vraisemblance après une administration limitée des preuves (ATF 127 III 474 consid. 2b/bb ; TF 5A_661/2011 du 10 février 2012 consid. 2.3), en se fondant sur les</w:t>
      </w:r>
    </w:p>
    <w:p>
      <w:r>
        <w:t>- 29 - moyens de preuve immédiatement disponibles (ATF 131 III 473 consid. 2.3 in limine ; TF 5A_497/2011 du 5 décembre 2011 consid. 3.2).</w:t>
      </w:r>
    </w:p>
    <w:p>
      <w:r>
        <w:rPr>
          <w:b/>
        </w:rPr>
        <w:t>E. 2.2</w:t>
      </w:r>
    </w:p>
    <w:p>
      <w:r>
        <w:t>Les questions relatives aux enfants étant soumises à la maxime inquisitoire illimitée (art. 296 al. 1 CPC), les parties peuvent présenter des nova en appel même si les conditions de l'art. 317 al. 1 CPC ne sont pas réunies (ATF 144 III 349 consid. 4.2.1). La maxime inquisitoire illimitée de l’art. 296 CPC est applicable à toutes les procédures du droit de la famille concernant le sort des enfants. Elle vaut ainsi, lorsque des questions relatives à l’enfant, y compris celles relatives à la contribution d’entretien, doivent être tranchées dans une procédure sommaire, telle la procédure de mesures protectrices de l’union conjugale (TF 5A_645/2016 du 18 mai 2017 consid. 3.2.3 ; TF 5A_1032/2019 du 9 juin 2020 consid. 4.2, RSPC 2020 p. 569). Dans son champ d’application, la maxime inquisitoire illimitée ne vaut pas seulement en faveur de l’enfant, mais de toutes les parties, y compris le débiteur d’entretien (TF 5A_899/2019 du 17 juin 2020 consid. 3.3.2), même si elle a été instaurée principalement dans l'intérêt de l'enfant (ATF 128 III 411 consid. 3.2.1, rendu en application de l’art. 145 al. 1 aCC [Code civil suisse du 10 décembre 1907 ; RS 210]). Le Tribunal fédéral considère que la maxime d'office ne s'applique qu'aux enfants mineurs et non aux litiges relatifs à la contribution d'entretien envers l'enfant majeur (ATF 118 II 101, JdT 1995 I 100 ; TF 5A_524/2017 du 9 octobre 2017 consid. 3.2 ; FamPra.ch 2019 p. 674 (BE)). Dans son arrêt 5A_524/2017 du 9 octobre 2017 (consid. 3.2.2 et les références citées), le Tribunal fédéral a toutefois jugé qu’il n’était pas arbitraire de considérer que l'enfant devenu majeur au cours d’une procédure matrimoniale, qui a acquiescé aux conclusions de son ancien représentant légal et qui n’était ainsi pas partie à la procédure devait bénéficier, comme l'enfant mineur, d'une protection procédurale accrue et, partant, de la maxime d'office – de la maxime inquisitoire illimitée –, en raison de l’absence de sa qualité de partie à la procédure et de l’interdépendance de sa contribution d’entretien avec le litige matrimonial.</w:t>
      </w:r>
    </w:p>
    <w:p>
      <w:r>
        <w:t>- 30 - En l’espèce, E.________ est majeure depuis le mois de décembre 2020. Or comme on le voit ci-dessus, la question de savoir si les maximes inquisitoire sociale et d’office s’appliquent dans un tel cas n’a pas été tranché par le Tribunal fédéral. Cette question peut toutefois demeurer indécise ici, dès lors que toutes les pièces produites en appel se trouvent pour certaines déjà au dossier et respectent pour les autres les conditions de l’art. 317 al. 1 CPC. S’agissant des nouveaux allégués et pièces produites le 16 novembre 2021, ils respectent certes l’art. 317 al. 1 CPC. Toutefois, la cause a été gardée à juger à l’issue de l’audience du 13 septembre 2021, de sorte que ces éléments sont irrecevables et ne seront pas pris en compte. A noter que ces derniers ne sont de toute manière pas déterminants, puisque sous l’angle de la vraisemblance, les déclarations faites par l’intimée en audience d’appel, qui n’ont pas été contestées par la partie adverse, suffisent à retenir que l’appelant réside depuis plusieurs mois en Roumanie.</w:t>
      </w:r>
    </w:p>
    <w:p>
      <w:r>
        <w:rPr>
          <w:b/>
        </w:rPr>
        <w:t>E. 3</w:t>
      </w:r>
    </w:p>
    <w:p>
      <w:r>
        <w:t>avril 2017 consid. 4.1.1). Le juge qui ordonne une restriction du pouvoir de disposer selon l'art. 178 CC bénéficie d'un pouvoir d'appréciation relativement large (TF 5A_866/2016 précité consid. 4.1.2). L’examen de la nécessité et cas échéant de la proportionnalité de la mesure doit donc être opérée avec un soin particulier (Pellaton, op. cit., n. 39 ad art. 178 CC). Cela étant, l'époux concerné peut toujours disposer des biens visés par la mesure avec l'accord de son conjoint (TF 5A_866/2016 précité consid. 4.1.2).</w:t>
      </w:r>
    </w:p>
    <w:p>
      <w:r>
        <w:rPr>
          <w:b/>
        </w:rPr>
        <w:t>E. 3.1</w:t>
      </w:r>
    </w:p>
    <w:p>
      <w:r>
        <w:t>L’appelant soutient tout d’abord qu’il n’existerait aucune mise en danger sérieuse et actuelle des prétentions de l’intimée, relevant à cet égard que l’arriéré de pension a été réglé en totalité, que sa fiduciaire est chargée d’opérer les versements depuis le 31 mai 2019, que toutes les pensions ont été payées à temps depuis lors, que depuis cette dernière date, seuls sont intervenus un paiement d’honoraires d’avocat et de fiduciaire liés à la procédure de divorce, un versement de 60'000 fr. pour couvrir des arriérés de frais de logement et un versement de 100'000 fr. pour une tentative d’activité de gestion de fortune, qui a malheureusement échoué, qu’en se conformant pleinement aux interdictions prononcées, il n’aurait pas eu les moyens de s’acquitter des contributions en question. Il fait ainsi valoir que par son comportement, il a rendu vraisemblable qu’il a désormais l’intention de s’acquitter de façon pérenne des obligations en faveur des siens et que l’intimée n’at pas rendu vraisemblable la mise en danger sérieuse et actuelle de ses</w:t>
      </w:r>
    </w:p>
    <w:p>
      <w:r>
        <w:t>- 31 - prétentions en entretien, la situation décrite dans ses écritures n’étant plus d’actualité. Enfin, l’appelant soutient que les réductions de capital – opérée en lieu et place de versements de dividendes – grâce auxquelles il assure son entretien ainsi que celui de sa famille n’implique pas de diminution de fortune à concurrence du montant versé. L’appelant soutient également que les mesures ordonnées contreviendraient au principe de proportionnalité. A cet égard, il relève que le mariage a été conclu sous le régime de la séparation de biens, qu’il dispose d’une fortune d’environ 24 millions, que le montant des contributions d’entretien, fixé en l’état à 24'000 fr., sera nécessairement réduit et limité dans le temps au moment du divorce en raison notamment de la majorité de l’enfant E.________ et qu’ainsi, par une évaluation des montants dus à l’avenir en faveur de sa famille, la prétention maximale en sûretés de l’intimée ne saurait excéder un capital de trois millions de francs, cela d’autant que le logement familial, d’une valeur de 2'255'000 fr. et franc d’hypothèque, fait également l’objet d’un blocage, que la diminution temporaire de la valeur des actions de K.________ SA entre 2018 et 2019 n’est pas déterminante au regard de la fortune héritée et qu’en bloquant la totalité des actions, l’ordonnance paralyserait les éléments patrimoniaux servant à assurer la subsistance courante de la famille. A titre subsidiaire, l’appelant soutient que les mesures de blocage du logement familial, ajouté au blocage d’un montant d’un million de francs sous forme d’actions de K.________ SA seraient suffisantes pour protéger les créances en entretien de sa famille et que la menace de la peine contenue dans l’ordonnance 2 ne serait pas nécessaire.</w:t>
      </w:r>
    </w:p>
    <w:p>
      <w:r>
        <w:rPr>
          <w:b/>
        </w:rPr>
        <w:t>E. 3.2</w:t>
      </w:r>
    </w:p>
    <w:p>
      <w:r>
        <w:t>L'art. 178 CC (Code civil suisse du 10 décembre 1907 ; RS 210), applicable en mesures provisionnelles par renvoi de l'art. 276 al. 1 CPC, prévoit que le juge peut, à la requête de l'un des époux, restreindre le pouvoir de l'autre de disposer de certains de ses biens sans le consentement de son conjoint et ordonner les mesures de sûreté appropriées. Cette disposition tend à éviter qu'un époux, en procédant à</w:t>
      </w:r>
    </w:p>
    <w:p>
      <w:r>
        <w:t>- 32 -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 ATF 120 III 67 consid. 2a ; TF 5A_823/2013 du 8 mai 2014 consid. 4.1). En outre, à titre de mesure de sûreté indirecte, l'injonction peut être assortie de la menace de la peine prévue par l'art. 292 CP (TF 5A_852/2010 du 28 mars 2011 consid. 3.2, publié in SJ 2012 I 34). L'époux qui demande de telles mesures de sûreté doit rendre vraisemblable, sur le vu d'indices objectifs, l'existence – actuelle ou future – de créances découlant de l’entretien de la famille et de la liquidation du régime matrimonial (Pellaton, Droit matrimonial, fond et procédure, Commentaire pratique, Bâle 2016, n. 37 ad art. 178 CC), ainsi que d’une mise en danger de celles-ci (ATF 118 II 378 consid. 3b et les références ; TF 5A_604/2014 du 1 mai 2015 consid. 3.2 ; TF 5A_823/2013 précité er consid. 4.1 ; TF 5A_771/20710 du 24 juin 2011 consid. 6.1). Il convient en particulier de rendre vraisemblable que, du fait du comportement de l’époux requis, des difficultés surviendront dans le recouvrement des créances découlant de l’entretien de la famille et de la liquidation du régime matrimonial (ATF 118 II 378 consid. 3a, JdT 1995 I 43) Le juge ne doit pas exiger une preuve stricte d'un danger imminent et se contentera à cet égard d'une simple vraisemblance (ATF 118 II 381 consid. 3b ; TF 5A_2/2013 du 6 mars 2013 consid. 3.2, publié in FamPra.ch 2013 p. 769). Peuvent constituer des indices d'une mise en danger des retraits bancaires importants, le refus de communiquer des renseignements sur le patrimoine, la transmission d'informations inexactes sur ce sujet ou la dissimulation de fait importants de la part de l’autre conjoint (TF 5A_866/2016 du 3 avril 2017 consid. 4.4.1 ; Chaix in Commentaire Romand, Code civil I, n. 2 à 4 ad art. 178 CC). Les mesures de sûreté ordonnées en application de l'art. 178 CC doivent respecter le principe de proportionnalité et ne pas dépasser ce qui est nécessaire pour atteindre l'objectif visé par la loi, qui est</w:t>
      </w:r>
    </w:p>
    <w:p>
      <w:r>
        <w:t>- 33 -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étant de maintenir la situation économique de la communauté matrimoniale (TF 5A_771/2010 précité consid. 6.2 et les références). En particulier, il convient d’être attentif au fait que les mesures d’interdiction ou de blocage ne devrait pas avoir pour effet de paralyser les éléments patrimoniaux de l’époux – ou typiquement un ensemble d’éléments patrimoniaux formant une entreprise – dont le rendement sert en tout ou en partie à assurer la subsistance courante de la famille. A long terme, les intérêts de la famille ne s’en trouveraient que davantage compromis (Pellaton, op. cit., n. 21 ad art. 178 CC). L'application du principe de la proportionnalité signifie également que la restriction peut, voire doit, être limitée dans le temps (TF 5A_866/2016 du</w:t>
      </w:r>
    </w:p>
    <w:p>
      <w:r>
        <w:rPr>
          <w:b/>
        </w:rPr>
        <w:t>E. 3.3</w:t>
      </w:r>
    </w:p>
    <w:p>
      <w:r>
        <w:t>En l’espèce, les parties sont mariées sous le régime de la séparation de biens. Elles sont séparées depuis de nombreuses années et s’opposent dans une procédure de divorce longue et complexe. L’appelant n’exerce plus d’activité lucrative, mais a une fortune importante qu’il a héritée. Depuis son mariage en 2001, l’intimée a élevé E.________ et [...] et n’a plus travaillé depuis. Elle est actuellement âgée de 58 ans et ne s’est pas vue imputer un revenu hypothétique jusqu’ici. Ainsi, s’il est vrai que la liquidation du régime matrimonial ne donnera que peu d’expectatives à l’intimée compte tenu du régime de la séparation de biens adopté par les parties, il est vraisemblable que l’intimée, [...] et E.________ – dans une</w:t>
      </w:r>
    </w:p>
    <w:p>
      <w:r>
        <w:t>- 34 - mesure toutefois limitée dans le temps pour ces dernières, âgée de 25 ans et de presque 19 ans – auront droit, dans le futur, à des créances importantes découlant de l’entretien de la famille au vu du train de vie très élevé mené pendant la vie commune. S’il n’est pas exclu que le montant de 24'000 fr. en vigueur sera prochainement réduit, on ne reviendra pas ici sur la justification de ce montant, qui n’est pas l’objet de la présente procédure. Il convient par ailleurs d’admettre que des difficultés risquent concrètement de survenir dans le recouvrement des créances d’entretien. A partir du moment où il s’est vu astreint à verser une contribution d’entretien à titre provisionnel de 24'000 fr. par mois en faveur de l’intimée et de sa fille par arrêt du juge délégué du 14 février 2014, l’appelant a en effet tout entrepris pour ne pas la verser, cumulant en 2017 des arriérés de pensions de 850'000 fr. qui ont contraint l’intimée d’entreprendre de nombreuses démarches judiciaires pour obtenir leur versement. Il a arrêté toute activité lucrative en 2016 et a régulièrement affirmé, dans ses écritures, être dans l’impossibilité de payer les contributions d’entretien fixées. Or, depuis 2015 en tous cas, il a bénéficié de très importantes sommes d’argent provenant de réductions annuelles du capital-actions de K.________ SA. Pour ces motifs et à la suite d’une requête de l’intimée, le montant dû est depuis mai 2019 mensuellement versé à l’intimée directement par la fiduciaire L.________ SA, de sorte que l’appelant ne saurait se prévaloir d’un comportement irréprochable depuis lors. A cela s’ajoute que depuis plusieurs années, il ne donne aucun signe de vie, ni à l’intimée, ni à sa fille, et qu’il ne se présente plus aux audiences de tribunal en se réfugiant derrière de prétendus problèmes psychiques liés à la procédure, alors même que l’on ne discerne chez lui aucune quelconque volonté de résoudre le litige matrimonial qui l’oppose à l’intimée. La mauvaise foi de l’appelant et sa volonté délibérée de cacher ses sources de revenus ressortent clairement des décisions rendues depuis 2014 et de la procédure pénale. Enfin, il réside depuis plusieurs mois en Roumanie, où il semble désormais vivre en couple. Au vu de ces éléments, il y a lieu de considérer qu’en l’absence des mesures</w:t>
      </w:r>
    </w:p>
    <w:p>
      <w:r>
        <w:t>- 35 - en question, les créances futures de l’intimée, actuellement de 288'000 fr. par an, ne seraient pas garanties. Reste encore à déterminer si le principe de proportionnalité est respecté, en particulier si la mesure ne va pas au-delà de ce qui est nécessaire pour atteindre l’objectif visé par l’art. 178 CC. A cet égard, il est vraisemblable que le blocage, qui porte sur diverses créances, sur les actions de K.________ SA et sur la villa familiale occupée par l’intimée, ne concerne qu’une partie de la fortune de l’appelant. Si la villa familiale, estimée à plus de 2 millions de francs, pourrait certes garantir le paiement des contributions d’entretien dans une certaine mesure, elle sert de domicile conjugal à l’appelante et doit en l’état uniquement garantir ce droit, au risque, dans le cas contraire, d’une vente forcée. Quant aux autres éléments bloqués, on doit admettre, au vu des circonstances, qu’ils respectent le principe de proportionnalité. En effet, la situation financière de l’appelant demeure opaque et ne se limite vraisemblablement pas aux éléments contenus dans l’ordonnance 1. L’évaluation des actions de K.________ SA n’est d’ailleurs pas évidente. Si l’on prend en compte le nombre d’actions détenues et la valeur des actions au 31 décembre 2019, la valeur des actions s’élèverait à plus de 27 millions de francs (17'176 actions de K.________ SA à 1'607 fr. 06). Ces actions ont toutefois une valeur variable, ayant passé de 2'543 fr. 35 au 31 décembre 2018 à 1’607 fr. 06 le 31 décembre 2019. Pour sa part, l’Office des poursuites a estimé la valeur de ces actions à 16'699'366 fr. le 16 janvier 2019, tout en considérant que leur estimation ne tenait pas compte de l’usufruit, la capitalisation de ce dernier devant être estimée par un expert. On retient ainsi de ces éléments qu’il est difficile d’évaluer les actions en question. A cela s’ajoute que l’appelant a lui-même allégué que depuis plusieurs années, K.________ SA opérait des réductions de capitaux qui diminuaient graduellement la valeur nominale des actions de la société. Enfin, différents actes tels que des prêts effectués en faveur de sa mère et T.________ laissent supposer que le risque que l’appelant se départisse – réellement ou fictivement – des actions est bel et bien concret. Ces éléments et le comportement fuyant de l’appelant qui</w:t>
      </w:r>
    </w:p>
    <w:p>
      <w:r>
        <w:t>- 36 - semble être prêt à tout pour échapper à ses obligations alimentaires, mis en balance avec le droit présumé de sa famille à des contributions d’entretien importantes pendant de longues années ou sous la forme d’un capital qui se chiffrera vraisemblablement en millions de francs, laissent apparaître que la mesure attaquée est nécessaire et adéquate au stade des mesures provisionnelles. On relève encore que cette mesure est en vigueur depuis plusieurs années et que le fait que l’appelant ne perçoive de K.________ SA que 13’500 fr. par mois, hors impôts, ne l’a pas empêché de mener un grand train de vie, notamment lorsqu’il se trouvait au [...]. Le fait qu’il réside désormais en Roumanie – même si l’on ne sait pas pour combien de temps –, où le coût de la vie est bien inférieur à celui de la Suisse, laisse d’autant plus présumer que ce montant est amplement suffisant. L’appelant ne rend par ailleurs pas suffisamment vraisemblable que cette mesure paralyserait de manière néfaste ses activités de gestion de fortune. L’ordonnance prévoit d’ailleurs que ces interdictions peuvent faire l’objet d’exceptions avec l’accord du juge ou de l’intimée. Au vu de ce qui précède, tant les conclusions principales que subsidiaires de l’appelant doivent être rejetées. Quant à la menace de la peine contenue dans l’ordonnance 2, elle s’avère nécessaire, puisqu’il est établi que des montants ont été versés à plusieurs reprises en violation de l’ordonnance de mesures superprovisionnelles du 27 décembre 2018.</w:t>
      </w:r>
    </w:p>
    <w:p>
      <w:r>
        <w:rPr>
          <w:b/>
        </w:rPr>
        <w:t>E. 4.1</w:t>
      </w:r>
    </w:p>
    <w:p>
      <w:r>
        <w:t>En définitive, les appels doivent être rejetés et les ordonnances confirmées.</w:t>
      </w:r>
    </w:p>
    <w:p>
      <w:r>
        <w:rPr>
          <w:b/>
        </w:rPr>
        <w:t>E. 4.2</w:t>
      </w:r>
    </w:p>
    <w:p>
      <w:r>
        <w:t>Les frais judiciaires de deuxième instance, pour les deux appels, arrêtés à 2'500 fr. (art. 65 al. 1 et 3 TFJC [tarif des frais judiciaires civils du 28 septembre 2010, RSV 270.11.5]), seront mis à la charge de l’appelant, qui succombe (art. 106 al. 1 CPC).</w:t>
      </w:r>
    </w:p>
    <w:p>
      <w:r>
        <w:t>- 37 -</w:t>
      </w:r>
    </w:p>
    <w:p>
      <w:r>
        <w:rPr>
          <w:b/>
        </w:rPr>
        <w:t>E. 4.3</w:t>
      </w:r>
    </w:p>
    <w:p>
      <w:r>
        <w:t>L’appelant versera en outre un montant de 4'000 fr. à l’intimée à titre de dépens de deuxième instance (art. 3 al. 2 et 3 TDC [tarif des dépens en matière civile du 23 novembre 2010 ; BLV 270.11.6]). Par ces motifs, le Juge délégué de la Cour d’appel civile prononce : I. Les appels sont rejetés. II. Les ordonnances sont confirmées. III. Les frais judiciaires de deuxième instance, fixés à 2'500 fr. (deux mille cinq cents francs), sont mis à la charge de l’appelant A.A.________. IV. L’appelant A.A.________ doit verser le montant de 4'000 fr. (quatre mille francs) à l’intimée B.________ à titre de dépens de deuxième instance. V. L’arrêt est exécutoire. Le juge délégué : La greffière :</w:t>
      </w:r>
    </w:p>
    <w:p>
      <w:r>
        <w:t>- 38 - Du Le présent arrêt, dont la rédaction a été approuvée à huis clos, est notifié en expédition complète à : - Me Gabrielle Weissbrodt (pour A.A.________), - Me Jean-Yves Schmidhauser (pour B.________) et communiqué, par l'envoi de photocopies, à : - Mme la Présidente du Tribunal civil de l’arrondissement de La Côte. Une copie du dispositif du présent arrêt est par ailleurs notifié à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