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TD15.026752 vom 29. Juni 2017</w:t>
      </w:r>
    </w:p>
    <w:p>
      <w:r>
        <w:t>VD Tribunal cantonal, 2017-06-29, FR</w:t>
      </w:r>
    </w:p>
    <w:p>
      <w:r>
        <w:rPr>
          <w:b/>
        </w:rPr>
        <w:t xml:space="preserve">Quelle: </w:t>
      </w:r>
      <w:r>
        <w:t>https://mcp.opencaselaw.ch/entscheid/vd_gerichte_TD15.026752</w:t>
      </w:r>
    </w:p>
    <w:p>
      <w:r>
        <w:t>FR: VD_GERICHTE TD15.026752 du 29 juin 2017</w:t>
      </w:r>
    </w:p>
    <w:p>
      <w:r>
        <w:t>IT: VD_GERICHTE TD15.026752 del 29 giugno 2017</w:t>
      </w:r>
    </w:p>
    <w:p>
      <w:pPr>
        <w:pStyle w:val="Heading2"/>
      </w:pPr>
      <w:r>
        <w:t>Erwägungen</w:t>
      </w:r>
    </w:p>
    <w:p>
      <w:r>
        <w:rPr>
          <w:b/>
        </w:rPr>
        <w:t>E. 24</w:t>
      </w:r>
    </w:p>
    <w:p>
      <w:r>
        <w:t>septembre, 1er octobre et 15 décembre 2015 (pièce 7), en réponse à l’argument de l’appelante selon lequel ces dépenses établiraient que la situation financière de son ex-époux serait en réalité plus favorable que ce qu’il prétend. Ces faits se sont déroulés en 2015, soit durant la procédure</w:t>
      </w:r>
    </w:p>
    <w:p>
      <w:r>
        <w:t>- 10 - de première instance. Or, l’appelante n’expose nullement à quelle date et dans quelles circonstances elle a eu connaissance du traitement dentaire effectué par l’intimé, ni pourquoi elle n’a pas été en mesure d’alléguer ces éléments lors de la procédure de première instance. Partant, son grief, ainsi que les pièces y relatives produites par l’intimé, sont irrecevables. Il en va de même de la déclaration d’impôt pour l’année 2015 de l’intimé, dont il ne démontre pas qu’il aurait été dans l’impossibilité de la produire en première instance. 2.3 Le 3 février 2017, le Juge délégué de la Cour de céans a ordonné la production de la pièce 52 requise par l’appelante, à savoir la liste des opérations effectuées entre le 1er janvier 2015 jusqu’à ce jour sur le ou les comptes bancaires au sein du [...] dont le titulaire est l’intimé. Par courrier de son conseil du 10 février 2017, l’intimé a répondu qu’il ne disposait d’aucun compte bancaire auprès du [...]. Cela rend sans objet la réquisition de production de la pièce 51, qui concerne également des comptes ouverts auprès de cet établissement bancaire. 3. 3.1 L’appelante reproche aux premiers juges d’avoir tenu compte, dans le calcul des charges de l’intimé, de 200 fr. de frais de justice et de 72 fr. de frais d’abonnement de bus. Elle soutient d’une part qu’en présence de revenus modestes, les frais de justice ne devraient pas porter atteinte à l’entretien convenable de l’enfant, et d’autre part que l’intimé n’aurait pas justifié de son besoin de disposer d’un abonnement de bus dès lors qu’il était au chômage. Elle fait en outre valoir qu’il y a lieu de tenir compte des nouvelles exigences de l’art. 276 al. 1 et 2 CC et de procéder à un nouveau calcul pour définir précisément les charges de l’enfant et les frais de sa prise en charge. Sur cette base, elle prétend au maintien des contributions antérieures. Selon l’intimé, son abonnement de bus serait nécessaire pour ses recherches d’emploi. Le remboursement de ses frais de justice, auquel</w:t>
      </w:r>
    </w:p>
    <w:p>
      <w:r>
        <w:t>- 11 - il ne peut pas échapper, devrait également être pris en compte dans ses charges. 3.2 La modification ou la suppression de la contribution d’entretien de l’enfant, fixée dans un jugement de divorce (cf. art. 286 al. 2 CC [Code civil suisse du 10 décembre 1907 ; RS 210], applicable par renvoi de l’art. 134 al. 2 CC), de même que la modification ou la suppression de la contribution d’entretien du conjoint (art. 129 al. 1 CC), suppose que des faits nouveaux importants et durables soient survenus dans la situation du débirentier ou du parent gardien, qui commandent une réglementation différente ; la procédure de modification ne doit pas viser à réexaminer ou corriger le jugement de divorce, mais à l'adapter aux circonstances nouvelles survenues chez les parents ou chez l'enfant (ATF 137 III 604 consid. 4.1.1 250, JdT 2012 II 250 et 403 ; TF 5A_78/2014 du 15 juin 2014 consid. 4.1).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consid. 4.1.1, JdT 2012 II 250 et 403 ; ATF 131 III 189 consid. 2.7.4). 3.3 3.3.1 Les nouvelles dispositions sur l’entretien de l’enfant sont applicables depuis le 1er janvier 2017 (RO 2015 4304). L’art. 176 al. 1 ch. 1 CC, dans sa teneur en vigueur jusqu’au 31 décembre 2016, prévoyait qu’à la requête d’un des conjoints et si la suspension de la vie commune était fondée, le juge fixait la contribution pécuniaire à verser par l’une des parties à l’autre. Les nouvelles dispositions sur l’entretien de l’enfant ont impliqué une modification de l’art. 176 al. 1 ch. 1 CC, qui dispose désormais qu’à la requête d’un époux et si la suspension de la vie commune est fondée, le juge fixe les contributions d’entretien à verser respectivement aux enfants et à l’époux. Si le changement terminologique n’est que peu important, les conséquences pratiques le sont, puisque le juge a désormais l’obligation de distinguer la contribution d'entretien due à l'enfant de celle due à l'époux, étant précisé que le nouvel art. 276a al. 1</w:t>
      </w:r>
    </w:p>
    <w:p>
      <w:r>
        <w:t>- 12 - CC institue expressément une hiérarchie des contributions d'entretien, celles dues aux enfants mineurs primant les autres obligations du droit de la famille. 3.3.2 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 556).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w:t>
      </w:r>
    </w:p>
    <w:p>
      <w:r>
        <w:t>- 13 - p. 535). Le calcul de ces frais pourra s’effectuer sur la base du minimum vital du droit des poursuites (Message, p. 557). 3.3.3 Si le législateur a renoncé à codifier une méthode de calcul de la contribution d'entretien, plus particulièrement de la contribution de prise en charge, la doctrine estime que la pratique d’une méthode abstraite telle que celle des pourcentages, usuellement utilisée par les tribunaux vaudois, devrait être abandonnée, celle-ci ne comprenant pas de contribution de prise en charge et ne tenant pas compte des besoins concrets des enfants (Stoudmann, Le nouveau droit de l'entretien de l'enfant en pratique : ce qui change et ce qui reste, in RMA 6/2016, pp. 427 ss, spéc. p. 434; Spycher, Kindesunterhalt : Rechtliche Grundlagen und praktische Herausforderungen – heute und demnächst, FamPra.ch 1/2016, pp. 1 ss, spéc. p. 8; Bähler, Unterhaltsberechnungen – von der Methode zu den Franken, in FamPra.ch 1/2015, pp. 271ss, spéc. p. 321; Rüetschi/Spycher, Revisionsbestrebungen im Unterhaltsrecht : aktueller Stand und Ausblick, in Schwenzer/Büchler/Frankhauser [éd.], Siebte Schweizer Familienrecht§Tage, 2014, p. 115 ss, p. 167). La doctrine s'accorde en revanche à dire que la méthode du minimum vital avec participation à l'excédent pourrait se révéler adéquate pour le calcul des contributions d'entretien en faveur des enfants et du conjoint, notamment lorsque la situation financière n'est pas aisée.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 Lorsque les ressources disponibles ne suffisent pas à satisfaire les deux minima vitaux, il convient de préserver le minimum d’existence du débiteur d’entretien (ATF 133 III 57 consid. 3 ; ATF 123 III 1 consid. 3b, JdT 1998 I 39).</w:t>
      </w:r>
    </w:p>
    <w:p>
      <w:r>
        <w:t>- 14 -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Bohnet/Dupont [éd.], Le nouveau droit de l’entretien de l’enfant et du partage de la prévoyance, 2016, n. 46 ss et les réf. citées ; Stoudmann, op. cit., pp. 443 ss; Hausheer/Spycher, op. cit., pp. 163 ss; Bähler, op. cit., pp. 322 ss). L’addition des coûts directs de l’enfant – éventuellement pondérés en fonction de la prise en charge effective de chaque parent – et de la contribution de prise en charge constituera le montant dû au titre de contribution d’entretien pour l’enfant. Au final, si après paiement de la contribution d’entretien due pour les enfants mineurs, un disponible subsiste, celui-ci devra être réparti entre les conjoints (Stoudmann, loc. cit.). Il convient de déduire des coûts de subsistance du parent gardien la part des enfants aux coûts du logement, celle-ci étant comptabilisée dans les besoins de ces derniers (TF 5A_464/2012 du 30 novembre 2012 consid. 4.6.3 ; TF 5P.370/2004 du 5 janvier 2005 consid. 4 ; TF 5C.277/2001 du 19 décembre 2002 consid. 3.2). Cette participation est calculée en fonction d’un pourcentage du loyer effectif et adaptée aux circonstances concrètes. Son étendue doit en effet être déterminée dans chaque cas par le juge, au vu du nombre d'enfants et du montant du loyer. Le juge peut aussi se référer à la part attribuée au logement par les recommandations du canton de Zurich (TF 5A_464/2012 précité ; ATF 115 Ia 325 consid. 3a ; Steinauer, La fixation de la contribution d'entretien due aux enfants et au conjoint en cas de vie séparée, RFJ 1992 p. 3 ss, spéc. p. 13 ; Hegnauer, Grundriss des Kindesrechts, 5e éd., 1999, n° 37 ad art. 285 CC). 3.4 3.4.1 Il convient en premier lieu de déterminer les coûts directs de l’enfant A.________. Sa part au loyer peut être fixée à 20 %, soit en</w:t>
      </w:r>
    </w:p>
    <w:p>
      <w:r>
        <w:t>- 15 - l’occurrence à 305 fr. (20 % de 1'525 fr.). La prime d’assurance complémentaire par 35 fr. et les frais de garde par 430 fr., non contestés, doivent également être pris en compte, de même que le minimum vital par 600 fr., sous déduction des allocations familiales perçues par la mère, par 230 francs. La prime d’assurance-maladie obligatoire étant entièrement subsidiée, il n’y a pas lieu d’en tenir compte. L’appelante allègue des loisirs pour un montant de 130 fr., sans justifier les 20 fr. supplémentaires par rapport au montant de 110 fr. retenu par les premiers juges, de sorte que ce dernier montant doit être confirmé. Par conséquent, les coûts directs de l’enfant A.________ s’établissent comme il suit : - Minimum vital (600 fr. – 230 fr. d’allocations familiales) : 370 fr. - 20 % du loyer : 305 fr. - Assurance maladie obligatoire, entièrement subsidiée0 fr. - Assurance maladie complémentaire : 35 fr. - Frais de garde : 430 fr. - Loisirs : 110 fr. TOTAL 1'250 fr. 3.4.2 S'agissant de la situation financière de l'intimé, les premiers juges ont retenu des revenus de 3'300 fr. et les charges incompressibles suivantes : un loyer de 990 fr., une prime d’assurance-maladie de 260 fr., des frais de justice de 200 fr. et des frais de transport (abonnement de bus mensuel) de 72 fr., soit au total 1'432 francs. Sur la base des montants retenus en première instance, le disponible de l’intimé était de 578 fr. (3'300 fr., sous déduction des montants suivants : 1'200 fr. à titre de minimum vital, 990 fr. à titre de</w:t>
      </w:r>
    </w:p>
    <w:p>
      <w:r>
        <w:t>- 16 - loyer, 260 fr. à titre d’assurance-maladie, 200 fr. à titre de frais de justice et 72 fr. à titre de frais de transport). L’appelante critique la prise en considération de la somme de 200 fr. à titre de frais de justice, faisant valoir qu'en présence de revenus modestes, ceux-ci ne doivent pas porter préjudice à l'entretien convenable de l'enfant. De même, elle conteste la prise en considération de la somme de 72 fr. à titre de frais de transport ; étant au chômage, l'intimé n'aurait pas justifié de la nécessité d'un abonnement de bus. Les frais de transport doivent être pris en considération, l'intimé devant pouvoir rechercher un emploi et se déplacer à ce titre. En ce qui concerne les frais de justice, il n’en sera pas tenu compte, au vu de la situation financière précaire des parties, au même titre que les impôts (cf. TF 5A_608/2011 du 13 décembre 2011 consid. 6.2.5, rés. RMA 2012 p. 110 ; Juge délégué CACI 9 septembre 2011/238). Le budget mensuel de l’intimé s’établit dès lors comme il suit : - Revenus : 3'300 fr. - Minimum vital : - 1'200 fr. - Loyer : - 990 fr. - Assurance maladie : - 260 fr. - Frais de transport : - 72 fr. TOTAL 778 fr. L’intimé a par conséquent un disponible de 778 fr. par mois. 3.4.3 En ce qui concerne la situation financière de l'appelante, les premiers juges ont retenu qu’elle percevait un salaire mensuel net de 945 fr. et qu’elle assumait les charges suivantes pour elle et son fils : 1'525 fr. de loyer, 298 fr. 50 de primes d’assurance-maladie (après déduction des subsides), 430 fr. de frais de garde, 110 fr. pour les loisirs d’A.________ et 72 fr. de frais de transport.</w:t>
      </w:r>
    </w:p>
    <w:p>
      <w:r>
        <w:t>- 17 - Seul le 80 % du loyer doit être retenu dans les charges, les 20 % restants étant pris en compte dans le calcul des coûts direct de l’enfant selon le nouveau droit. La prime de son assurance maladie obligatoire et complémentaire étant entièrement subsidiée, il n’y a pas lieu d’en tenir compte. Les frais de transports ne sont pas contestés en appel et doivent être confirmés à hauteur de 72 francs. Elle perçoit un revenu de 945 fr. par mois, complété par le Revenu d’insertion, qui ne doit cependant pas être pris en compte, l’aide sociale étant par nature subsidiaire aux obligations d’entretien du droit de la famille (TF 5A_158/2010 du 25 mars 2010 consid. 3.2 ; TF 5A_170/2007 du 27 juin 2007 consid. 4, in FamPra.ch 2007 p. 895 et les références). Par conséquent, le budget mensuel de l’appelante s’établit comme il suit : - Revenus : 945 fr. - Minimum vital : - 1'350 fr. - 80 % du loyer : - 1'220 fr. - Frais de transport : - 72 fr. TOTAL - 1'697 fr. L’appelante accuse ainsi un manco de 1'697 fr. par mois. 3.4.4 Compte tenu du disponible de l’intimé de 778 fr. par mois, des coûts directs d’A.________ de 1'250 fr. et du manco de l’appelante de 1'679 fr., une réduction de la pension due en faveur d’A.________ fixée par le jugement de divorce du 19 mai 2015 (600 fr. jusqu’à l’âge de 10 ans, 700 fr. jusqu’à 14 ans et 800 fr. ensuite) ne se justifie pas, l’intimé étant toujours en mesure de l’assumer. En vertu de la maxime d’office applicable à la fixation des pensions alimentaires dues aux d’enfants, l’intimé pourrait être astreint, en application du nouveau droit de l’entretien de l’enfant, à verser une pension plus élevée que celle fixée dans le jugement de divorce, dès lors qu’il lui reste un</w:t>
      </w:r>
    </w:p>
    <w:p>
      <w:r>
        <w:t>- 18 - solde de 78 fr. (778 fr. – 700 fr. = 78 fr.) après paiement de celle-ci. Il ne faut cependant pas perdre de vue qu’en l’espèce, une action en modification du jugement de divorce a été ouverte en raison de la péjoration de la situation financière de l’intimé, qui réclamait une réduction des contributions d’entretien dues. Or l’entrée en vigueur des nouvelles dispositions en matière d’entretien de l’enfant ne constitue pas un changement notable de situation au sens de l’art. 286 al. 2 CC, permettant de modifier les contributions d’entretien fixées en vertu de l’ancien droit (Message concernant la révision du code civil suisse [Entretien de l’enfant] du 29 novembre 2013, FF 2014 pp. 569-570). Par conséquent, l’appel doit être admis concernant la contribution d’entretien due en faveur de l’enfant, les conclusions de l’intimé en réduction de cette pension devant être rejetées. En d’autres termes, le jugement de divorce du 19 mai 2015 doit rester en vigueur en ce qui concerne la contribution d’entretien due en faveur d’A.________, qui prévoyait un montant de 600 fr. jusqu’à l’âge de 10 ans révolus, 700 fr. jusqu’à 14 ans révolus et 800 fr. jusqu’à 18 ans révolus ou jusqu’à la fin d’une formation appropriée dans les délais normaux, dans la mesure où les circonstances permettent de l’exiger du père. 3.5 S’agissant de la contribution d’entretien due en sa faveur, l’appelante requiert qu’elle soit maintenue à 200 fr. par mois comme prévu par le jugement de divorce du 19 mars 2015. Le disponible de l’intimé, après paiement de ses charges incompressibles, est de 778 fr. (cf. supra consid. 3.4.2). Après versement de la contribution de 700 fr. en faveur d’A.________ (cf. supra consid. 3.4.4), il lui reste un montant de 78 francs. Le maintien de la pension de 200 fr. porterait ainsi atteinte au minimum vital de l’intimé à hauteur de 122 fr. (78 – 200 = - 122 francs). On relèvera qu’en appliquant le montant de 130 fr. retenu par les premiers juges, le minimum vital de l’intimé est également atteint à hauteur de 52 fr. (disponible de 78 fr. après paiement de 700 fr. pour A.________, soit 78 fr. – 130 fr. = - 52 francs). Cependant,</w:t>
      </w:r>
    </w:p>
    <w:p>
      <w:r>
        <w:t>- 19 - dès lors que la maxime de disposition est applicable à la pension due en faveur de l’appelante et que l’intimé n’a pas contesté le jugement de première instance alors qu’il subissait également un manco de 52 fr. (disponible de 578 fr. [cf. supra consid. 3.4.2], sous déduction de 500 fr. de pension due en faveur d’A.________ et de 130 fr. dus en faveur de l’appelante = - 52 fr.), il y a lieu de confirmer la pension de 130 fr. due en faveur de l’épouse fixée par les premiers juges. 4. 4.1 Au vu de ce qui précède, l’appel doit être admis et le jugement entrepris réformé en ce sens que la contribution d’entretien due en faveur d’A.________ fixée par la convention sur les effets accessoires du divorce ratifiée sous chiffre II du jugement de divorce du 19 mars 2015 reste en vigueur, et que la contribution d’entretien due en faveur de X.________ fixée par la même convention est désormais fixée à 130 francs. 4.2 Le montant des frais judiciaires de première instance, fixés à 3'000 fr., n’est pas contesté. Il y a cependant lieu de répartir ceux-ci différemment compte tenu de l’issue de l’appel. L’appelante a conclu, en première instance, au rejet des conclusions de la demande. Elle obtient finalement gain de cause concernant la contribution d’entretien due en faveur de son fils, ce qui représente un montant de 200 fr. par mois, mais succombe s’agissant de la pension en sa faveur, réduite de 70 fr. par mois. Dans ces conditions, les frais judiciaires de première instance, arrêtés à 3'000 fr., doivent être répartis à raison d’un quart pour l’appelante et de trois quarts pour l’intimé (art. 106 al. 1 et 2 CPC). Ils doivent donc être mis par 750 fr. à la charge de X.________ et par 2'250 fr. à la charge de M.________. Il y a lieu de rectifier d’office l’erreur de plume figurant dans le dispositif notifié le 30 juin 2017 (art. 334 CPC) en ce sens que les frais judiciaires de première instance sont mis à la charge de X.________ par 750 fr. et non par 1'750 francs.</w:t>
      </w:r>
    </w:p>
    <w:p>
      <w:r>
        <w:t>- 20 - Les dépens de première instance, fixés à 3'500 fr., doivent être répartis dans la même mesure. M.________ doit donc être condamné au versement de 1'750 fr. à titre de dépens en faveur de X.________ (3/4 de 3'500 fr. sous déduction de 1/4 de 3'500 francs). 4.3 4.3.1 Le conseil de l’appelante, Me Katia Pezuela, a droit à une rémunération équitable pour ses opérations et débours dans la procédure d’appel (art. 122 al. 1 let. a CPC). Elle a chiffré à 8 heures le temps consacré au dossier et a réclamé 100 fr. à titre de débours. Une indemnité correspondant à ce montant, au tarif horaire de 180 fr. (art. 2 al. 1 let. a RAJ [Règlement sur l’assistance judiciaire en matière civile ; RSV 211.02.03]), apparaît adéquate au regard des opérations effectuées. Le temps consacré au dossier doit ainsi être indemnisé à hauteur de 1'440 fr., montant auquel s’ajoutent les débours par 100 fr. et la TVA par 8 % sur le tout, soit un total de 1'663 fr. 20. 4.3.2 L’intimé a sollicité l’octroi de l’assistance judiciaire pour la procédure d’appel. Les conditions de l’art. 117 CPC étant réunies, il y a lieu de lui accorder le bénéfice de l’assistance judiciaire, comprenant l’assistance d’office d’un avocat en la personne de Me Dan Bally. Me Bailly a droit à une rémunération équitable pour ses opérations et débours dans la procédure d’appel (art. 122 al. 1 let. a CPC). Dans sa liste des opérations du 16 mars 2017, il indique avoir consacré 9 heures et 15 minutes à la procédure d’appel. Une indemnité correspondant à ce montant, au tarif horaire de 180 fr. (art. 2 al. 1 let. a RAJ [Règlement sur l’assistance judiciaire en matière civile ; RSV 211.02.03]), apparaît adéquate au regard des opérations effectuées. Le temps consacré au dossier doit ainsi être indemnisé à hauteur de 1'665 fr., montant auquel s’ajoutent la TVA par 8 %, soit un total de 1'798 fr. 20. Il n’y a pas lieu à l’allocation de débours, dans la mesure où aucun montant n’est réclamé à ce titre.</w:t>
      </w:r>
    </w:p>
    <w:p>
      <w:r>
        <w:t>- 21 - 4.4 Les frais judiciaires de deuxième instance, arrêtés à 600 fr. (art. 63 al. 1 TFJC [tarif des frais judiciaires civils du 28 septembre 2010 ; RSV 270.11.5]), devraient être mis à la charge de l’intimé, qui succombe (art. 106 al. 1 CPC), mais seront provisoirement laissés à la charge de l’Etat vu l’octroi de l’assistance judiciaire (art. 122 al. 1 let. b CPC). 4.5 Dans la mesure de l’art. 123 CPC, les bénéficiaires de l’assistance judiciaire sont tenus au remboursement des frais judiciaires et de l’indemnité de leurs conseils d’office mis à la charge de l’Etat. 4.6 L’octroi de l’assistance judiciaire ne dispense pas la partie du versement des dépens à la partie adverse (art. 122 al. 1 let. d CPC). Vu l’issue du litige, l’appelante a droit à de pleins dépens de deuxième instance qui seront arrêtés, compte tenu de l’importance de la cause, de ses difficultés, de l’ampleur du travail et du temps consacré à la procédure (art. 3 et 7 TDC [tarif des dépens en matière civile du 23 novembre 2010 ; RSV 270.11.6]), à 2’800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