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TD15.012395 vom 5. November 2015</w:t>
      </w:r>
    </w:p>
    <w:p>
      <w:r>
        <w:t>VD Tribunal cantonal, 2015-11-05, FR</w:t>
      </w:r>
    </w:p>
    <w:p>
      <w:r>
        <w:rPr>
          <w:b/>
        </w:rPr>
        <w:t xml:space="preserve">Quelle: </w:t>
      </w:r>
      <w:r>
        <w:t>https://mcp.opencaselaw.ch/entscheid/vd_gerichte_TD15.012395</w:t>
      </w:r>
    </w:p>
    <w:p>
      <w:r>
        <w:t>FR: VD_GERICHTE TD15.012395 du 5 novembre 2015</w:t>
      </w:r>
    </w:p>
    <w:p>
      <w:r>
        <w:t>IT: VD_GERICHTE TD15.012395 del 5 novembre 2015</w:t>
      </w:r>
    </w:p>
    <w:p>
      <w:pPr>
        <w:pStyle w:val="Heading2"/>
      </w:pPr>
      <w:r>
        <w:t>Erwägungen</w:t>
      </w:r>
    </w:p>
    <w:p>
      <w:r>
        <w:rPr>
          <w:b/>
        </w:rPr>
        <w:t>E. 29</w:t>
      </w:r>
    </w:p>
    <w:p>
      <w:r>
        <w:t>et 30 septembre 2015 et donc postérieures à la décision attaquée, mais elles auraient pu être établies avant et produites en première instance si l’appelant avait fait preuve de la diligence requise. Ainsi, ces pièces sont également irrecevables. Au surplus, l’appelant n’invoque pas – et a fortiori ne démontre pas – que les conditions de l’art. 317 CPC seraient réalisées. Quant à la production d’extraits détaillés des comptes et dépôts N.________ de l’intimée du 1er janvier 2014 à ce jour requise par A.E.________ dans le cadre de son appel, elle aurait pu être requise en première instance et l’appelant ne démontre pas en quoi ce moyen de preuve serait admissible à ce stade. Au demeurant, il n’indique pas quels faits il entend prouver grâce à la production de ces pièces ni leur influence sur le sort de l’appel. 3. a) En premier lieu, l’appelant sollicite la suspension de la présente cause jusqu’à droit connu sur la procédure actuellement pendante devant la Cour d’appel de Poitiers. Il conteste la compétence des autorités suisses pour trancher à titre provisionnel la requête de l’intimée. Selon l’appelant, le procès pendant devant la Cour d’appel de Poitiers a également pour objet le prononcé de mesures provisionnelles relatives au sort des enfants mineurs. Partant, il estime que le premier juge aurait dû constater l’existence d’une litispendance préexistante entre les parties et aurait dû suspendre sa procédure dans l’attente de la décision sur appel. Ce grief présente en réalité un double aspect : il s'agit de déterminer, d'une part, si le juge suisse est compétent pour statuer sur les mesures protectrices divisant des époux français dont l'un est domicilié au Maroc et l'autre se trouve en Suisse, et, d'autre part, si l'existence d'une action en divorce pendante en France exclut la compétence du juge suisse. b)</w:t>
      </w:r>
    </w:p>
    <w:p>
      <w:r>
        <w:t>- 15 - ba) A teneur de l'art. 85 al. 1 LDIP,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(CLaH96; RS 0.211.231.011). Cette convention, entrée en vigueur en 2009 pour la Suisse et en 2011 pour la France, a notamment pour objet de déterminer l'Etat dont les autorités ont compétence pour prendre des mesures tendant à la protection de la personne ou des biens de l'enfant, singulièrement pour prononcer des mesures portant sur le droit de garde et les relations personnelles (art. 1 al. 1 let. a, 3 let. b et 5 à 14 CLaH96; TF 5A_40/2014 du 17 avril 2014 consid. 4.2). Elle s'applique aux enfants à partir de leur naissance et jusqu’à ce qu’ils aient atteint l’âge de 18 ans (art. 2 CLaH 96). Elle prévoit que ce sont les autorités, tant judiciaires qu'administratives, de l'Etat contractant de la résidence habituelle de l'enfant qui sont compétentes pour prendre les mesures tendant à la protection de sa personne ou de ses biens (art. 5 ch. 1 CLaH 96). Sous réserve de l’art. 7 relatif au déplacement ou non-retour illicite de l’enfant, en cas de changement de résidence habituelle de l’enfant dans un autre Etat contractant, sont compétentes les autorités de l’Etat de la nouvelle résidence habituelle (art. 5 ch. 2 CLaH 96). Toutefois, les autorités d’un Etat contractant qui sont compétentes selon les art. 5 à 10 pour prendre des mesures de protection de la personne ou des biens de l’enfant doivent s’abstenir de statuer si, lors de l’introduction de la procédure, des mesures correspondantes ont été demandées aux autorités d’un autre Etat contractant alors compétentes en vertu des art. 5 à 10 et sont encore en cours d’examen (art. 13 al. 1 CLaH 96 ; Schwander, Basler Kommentar IPRG, 3e éd., Bâle 2013, n. 59 ad art. 13 CLaH 96).</w:t>
      </w:r>
    </w:p>
    <w:p>
      <w:r>
        <w:t>- 16 - Si la CLaH 96 ne définit pas la notion de résidence habituelle, 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4e éd., 2004, n. 3 ad art. 85 LDIP, p. 280,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consid. 4.1 ; TF 5C.28/2004 du 26 mars 2004 consid.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consid. 4.4 et les réf. citées ;TF 5C.272/2000 et 5C.273/2000 du 12 février 2001 consid. 3b et les réf. citées ; ATF 129 III 288 consid. 4.1). bb) S’agissant de la question de la contribution d’entretien en faveur des enfants, la convention de Lugano trouve application (art. 4 let. e CLaH96 ainsi que 1 et 5 al. 2 CL [convention du 30 octobre 2007 concernant la compétence judiciaire, la reconnaissance et l'exécution des décisions en matière civile et commerciale, dite Convention de Lugano; RS 0.275.12]). Selon cette convention, le principe général pour déterminer le for est celui du domicile du défendeur (art. 2 al. 1 CL). L’article 5 alinéa 2 CL instaure pourtant des règles de compétences spéciales, fixant trois fors alternatifs devant lesquels le défendeur peut être attrait, à savoir devant le tribunal du lieu où le créancier d’aliments a son domicile ou sa résidence habituelle (let. a), devant le tribunal compétent selon la loi du</w:t>
      </w:r>
    </w:p>
    <w:p>
      <w:r>
        <w:t>- 17 - for pour connaître d’une demande accessoire à une action relative à l’état des personnes, sauf si cette compétence est uniquement fondée sur la nationalité d’une des parties (let. b), ou encore devant le tribunal compétent selon la loi du for pour connaître d’une demande accessoire à une action relative à la responsabilité parentale, sauf si cette compétence est uniquement fondée sur la nationalité d’une des parties (let. c). c) En l’espèce, il n’est pas contesté que la résidence habituelle des enfants se trouve en Suisse. Ainsi, la compétence du juge suisse est acquise pour statuer sur les mesures requises dès lors que la mère a son domicile en Suisse et que les enfants y ont leur résidence habituelle. Le résultat n’est pas différent en raisonnant sur la base de l'art. 5 par. 2 let. a CL, qui permet d'attraire le débiteur d'une obligation alimentaire devant le tribunal du lieu où le créancier d'aliments a son domicile ou sa résidence habituelle. d) En principe, les mesures protectrices de l’union conjugale peuvent être ordonnées jusqu’à la litispendance du procès en divorce (ATF 95 II 74 consid. 2c). Elles restent toutefois en vigueur après l’ouverture de la procédure en divorce aussi longtemps qu’elles ne sont pas modifiées par des mesures provisionnelles, même si les mesures protectrices de l’union conjugale sont ordonnées après l’ouverture de l’action en divorce (ATF 101 II 1), ces mesures constituant alors des mesures provisoires (ATF 134 III 326 consid. 3.4 et 3.6). L'ouverture d'une action en divorce au fond en France n'influe pas sur la question de la compétence. En effet, le juge suisse des mesures protectrices ne cesse d'être compétent, après l'ouverture d'un procès en divorce à l'étranger, qu'au moment où le juge étranger a ordonné des mesures provisoires pour la durée du procès et que celles-ci ont été déclarées exécutoires en Suisse (ATF 104 II 246; Juge délégué CACI 14 juin 2012/277). En l’espèce, le Tribunal de première instance de Poitiers s’est estimé incompétent pour statuer sur la requête en divorce par ordonnance du 11 mai 2015 et il n’a au demeurant ordonné aucune mesure provisoire. S'il n'y a pas conflit de compétences, il importe peu que la décision de mesures protectrices ait été rendue avant ou après</w:t>
      </w:r>
    </w:p>
    <w:p>
      <w:r>
        <w:t>- 18 - la litispendance de l'action en divorce (TF 5A_324/2012 du 15 août 2012 consid. 3.3.2, confirmant l'arrêt Juge délégué CACI 6 février 2012/59). Au vu de ce qui précède, l’existence d’une action en divorce pendante en France n’exclut pas la compétence du juge suisse, de sorte que le premier juge pouvait valablement trancher la requête de mesures provisionnelles de l’intimée. 4. a) L’appelant se plaint également d’une violation de son droit d’être entendu dès lors que le premier juge n’a pas consigné au procès- verbal de l’audience du 30 juin 2015 les déclarations des parties. b) Le tribunal peut auditionner les deux parties ou l’une d’entre elles sur les faits de la cause (art. 191 al. 1 CPC). Les parties sont exhortées à répondre conformément à la vérité ; le tribunal les rend attentives au fait qu’en cas de mensonge délibéré, elles peuvent être punies d’une amende disciplinaire de 2'000 fr. au plus et, en cas de récidive, de 5'000 fr. au plus (art. 191 al. 2 CPC). Selon le texte légal, l’initiative de l’audition revient au seul tribunal ou à son juge délégué, mais pas aux parties, qui peuvent toujours suggérer une telle audition (Schweizer, CPC commenté, 2011, n. 9 ad art. 191 CPC). c) En l’espèce, le premier juge n’a pas estimé opportun d’effectuer un interrogatoire des parties au sens de l’art. 191 CPC. Il n’apparaît en outre pas non plus que l’une ou l’autre des parties ait sollicité un tel interrogatoire. La procédure de mesures protectrices de l’union conjugale étant libre et le juge n’étant pas tenu de procéder à un interrogatoire des parties au sens de l’art. 191 CPC, on ne décèle aucune violation du droit d’être entendu de l’appelant à ce titre. Ce grief doit donc être rejeté.</w:t>
      </w:r>
    </w:p>
    <w:p>
      <w:r>
        <w:t>- 19 - 5. a) L’appelant se plaint de constatation erronée des faits s’agissant de la détermination de ses revenus effectuée par le premier juge. Il estime que celui-ci s’est basé uniquement sur des documents datant de la période durant laquelle les époux vivaient encore de leur fortune. Il soutient en outre n’avoir pas été en mesure de s’organiser à temps pour faire le déplacement de Nyon ni d’avoir pu rassembler les documents nécessaires à l’établissement de sa situation financière. Il indique toutefois avoir produit différentes pièces nouvelles à l’appui de son appel. b) Comme on l’a vu sous consid. 2c) supra, les pièces nouvelles produites par l’appelant sont irrecevables. L’intéressé, qui ne se prévaut toujours pas de l’application de l’art. 317 CPC, n’explique en rien pourquoi il n’a pas collaboré à l’établissement de sa situation financière lorsque le premier juge a requis qu’il produise plusieurs pièces relatives à celle-ci. Partant, on ne peut faire grief au premier juge d’avoir établi la situation financière de l’appelant sur la base des pièces produites par l’intimée et il n’y a pas de constatation manifestement inexacte des faits à cet égard. Ce grief doit être rejeté. 6. a) L’appelant se plaint en dernier lieu d’une violation du droit en regard de l’art. 276 CC. Il estime avoir contribué à l’entretien de ses enfants B.E.________ et C.E.________ par le versement le 8 avril 2014 d’un capital de plus de 1'000'000 fr. à son épouse, ce montant étant suffisant pour subvenir aux besoins de sa famille à tout le moins jusqu’à ce que le divorce des parties puisse être prononcé. L’appelant soutient également, à titre subsidiaire, que les pensions fixées par le premier juge entament son minimum vital, son seul revenu régulier étant son salaire mensuel net de 779 euros pour son activité en faveur de la société A.________. b)</w:t>
      </w:r>
    </w:p>
    <w:p>
      <w:r>
        <w:t>- 20 - ba) L’art. 276 CC, impose aux père et mère de pourvoir à l’entretien de l’enfant et d’assumer par conséquent les frais de son éducation, de sa formation et des mesures prises pour le protéger (al. 1) et précise que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Il 110, JT 1993 I 162 consid. 3a). Celui des parents dont la capacité financière est supérieure peut être tenu, suivant les circonstances, de subvenir à l'entier du besoin en argent si l'autre remplit son obligation à l'égard de l'enfant essentiellement en nature (TF 5A_ 386/2012 du 23 juillet 2012 consid. 4.2.1 et réf.; TF 5A_402/2010 du 10 septembre 2010). La différence de revenus entre les époux justifie que l’un deux assume les frais fixes tels que l’assurance-maladie, les frais d’écolage et les frais médicaux non couverts, en sus du logement et de l’entretien courant auquel il subvient lorsque les enfants sont avec lui (TF 5A_497/2011 du 5 décembre 2011 consid. 7.1.3 – 7.5). bb)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12 à 15 %</w:t>
      </w:r>
    </w:p>
    <w:p>
      <w:r>
        <w:t>- 21 - pour un enfant, 25 à 27 % lorsqu’il y en a deux, 30 à 35 % lorsqu’il y en a trois et 40 % lorsqu’il y en a quatre (Bastons Bulletti, L’entretien après divorce : méthodes de calcul, montant, durée et limites, in SJ 2007 II 77 ss, spéc. p. 107 s. ; RSJ 1984, p. 392, n. 4 et note p. 393 ; Meier/Stettler, Droit de la filiation, 5e éd., 2014, n. 1076, pp. 712 s. ; TF 5A_84/2007 du 18 septembre 2007 consid. 5.1). Il s’agit là d’un taux approximatif qui doit être pondéré au vu des circonstances, selon l’équité (ATF 107 Il 406 consid. 2c ; RSJ 1984, p. 392, n. 4 précité ; Meier/Stettler, ibid.). Le Tribunal fédéral a admis cette méthode dite « des pourcentages », pour autant que la pension reste en rapport avec le niveau de vie et la capacité contributive du débiteur (TF 5A_178/2008 du 23 avril 2008 consid. 3.3 ; TF 5A_84/2007 du 18 septembre 2007 consid. 5.1 et les réf. citées). Lorsque la situation financière du parent débiteur est particulièrement bonne, la contribution ne peut pas être calculée de manière purement linéaire en fonction de la capacité financière du débiteur d’entretien. L’entretien et les besoins des enfants devraient être calculés concrètement sur la base du train de vie déterminant du débiteur d’entretien (TF 5A_115/2011 du 11 mars 2011 consid. 2.2 et 2.3, FamPra.ch 2011 n. 53 p. 769). c) En l’espèce, comme on l’a vu sous consid. 2c) supra, les pièces nouvelles produites par l’appelant, notamment s’agissant du versement d’une somme supérieure à un million de francs destinée à l’entretien de sa famille, sont irrecevables. Il en va de même en ce qui concerne les pièces relatives à ses revenus mensuels nets, dont il prétend qu’ils ascendent désormais à 779 euros nets. Partant, les arguments de l’appelant, qui se fondent sur des pièces irrecevables, tombent à faux. A cet égard, le premier juge a retenu qu’il ressortait des pièces produites par l’intimée que l’appelant était en mesure de faire transiter des montants importants depuis son compte à son nom personnel vers d’autres comptes. L’intéressé n’a pas non plus nié être en possession de</w:t>
      </w:r>
    </w:p>
    <w:p>
      <w:r>
        <w:t>- 22 - nombreuses sociétés civiles immobilières de droit français, d’au moins sept laboratoires médicaux, la plupart en France, ainsi qu’au moins trois riads au Maroc. En outre, si ses sociétés civiles immobilières n’ont pas généré de bénéfices importants, cela n’a toutefois pas empêché l’appelant d’acheter la villa à Nyon pour quelque quatre millions de francs suisses. Le premier juge a donc retenu, au stade de la vraisemblance, que la famille vivait, pendant la vie commune, principalement sur la fortune des époux ou les revenus de celle-ci, et que cela semblait toujours être le cas aujourd’hui. Un tel raisonnement ne prête pas le flanc à la critique. L’appelant n’a d’ailleurs pas nié que le couple vivait, au temps de la vie commune, de sa confortable fortune. Au surplus, A.E.________ ne conteste pas que les besoins mensuels concrets de son fils et de sa fille s’élèvent respectivement à 4'149 fr. 30 et 3'662 fr. 10. Ainsi, les pensions fixées par le premier juge l’ont été conformément aux critères de l’art. 276 CC. Le grief de l’appelant, mal fondé, doit être rejeté. 7. a) En définitive, l'appel doit être rejeté selon le mode procédural de l'art. 312 al. 1 CPC et l'ordonnance entreprise confirmée. b) Les frais judiciaires de deuxième instance, arrêtés à 5’000 fr. (art. 65 al. 4 TFJC [tarif des frais judiciaires civils du 28 septembre 2010; RSV 270.11.5]) sont mis à la charge de l'appelant, qui succombe (art. 106 al. 1 CPC). c) Il n'y a pas lieu à l'allocation de dépens, l'intimée n'ayant pas été invitée à se déterminer.</w:t>
      </w:r>
    </w:p>
    <w:p>
      <w:r>
        <w:t>- 23 - Par ces motifs, la Juge déléguée de la Cour d’appel civile du Tribunal cantonal, statuant en application de l'art. 312 al. 1 CPC, prononce : I. L’appel est rejeté. II. L’ordonnance est confirmée. III. Les frais judiciaires de deuxième instance, arrêtés à 5’000 fr. (cinq mille francs), sont mis à la charge de l’appelant A.E.________. IV. L’arrêt est exécutoire. La juge déléguée : La greffière : Du L'arrêt qui précède, dont la rédaction a été approuvée à huis clos, est notifié à : - Me Sébastien Voegeli (pour A.E.________), - Me Blaise Grosjean (pour I.________). La juge déléguée de la Cour d’appel civile considère que la valeur litigieuse est supérieure à 30’000 francs. Le présent arrêt peut faire l'objet d'un recours en matière civile devant le Tribunal fédéral au sens des art. 72 ss LTF (loi du 17 juin</w:t>
      </w:r>
    </w:p>
    <w:p>
      <w:r>
        <w:t>- 24 - 2005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