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TD14.049621 vom 22. September 2016</w:t>
      </w:r>
    </w:p>
    <w:p>
      <w:r>
        <w:t>VD Tribunal cantonal, 2016-09-22, FR</w:t>
      </w:r>
    </w:p>
    <w:p>
      <w:r>
        <w:rPr>
          <w:b/>
        </w:rPr>
        <w:t xml:space="preserve">Quelle: </w:t>
      </w:r>
      <w:r>
        <w:t>https://mcp.opencaselaw.ch/entscheid/vd_gerichte_TD14.049621</w:t>
      </w:r>
    </w:p>
    <w:p>
      <w:r>
        <w:t>FR: VD_GERICHTE TD14.049621 du 22 septembre 2016</w:t>
      </w:r>
    </w:p>
    <w:p>
      <w:r>
        <w:t>IT: VD_GERICHTE TD14.049621 del 22 settembre 2016</w:t>
      </w:r>
    </w:p>
    <w:p>
      <w:pPr>
        <w:pStyle w:val="Heading2"/>
      </w:pPr>
      <w:r>
        <w:t>Erwägungen</w:t>
      </w:r>
    </w:p>
    <w:p>
      <w:r>
        <w:rPr>
          <w:b/>
        </w:rPr>
        <w:t>E. 28</w:t>
      </w:r>
    </w:p>
    <w:p>
      <w:r>
        <w:t>janvier 2016, de sorte qu’ils sont recevables. 4. 4.1 L'appelant soutient que sa situation financière ne lui permettrait pas de s'acquitter des contributions au paiement desquelles il a été condamné. Il invoque un surendettement pour un montant approximatif de 100'000 fr., une saisie de salaire par l'Office des poursuites d'Yverdon-les-Bains et une accumulation de dettes. En l’espèce, l'appelant ne conteste pas la quotité de ses revenus, telle que retenue par les premiers juges, ni celle de ses charges, mais dépeint de manière toute générale sa situation financière, en sous-</w:t>
      </w:r>
    </w:p>
    <w:p>
      <w:r>
        <w:t>- 11 - entendant qu'elle est mauvaise, puisqu'il prétend ne pas être en mesure de s'acquitter des contributions. Il ne dit pas que la saisie dont il fait l'objet n'aurait pas été correctement prise en compte par les premiers juges, qui en ont fait état dans leur jugement. C'est d'ailleurs à juste titre que ceux-ci ont indiqué que la contribution d'entretien litigieuse bénéficie d'un rang prioritaire et que le défendeur pourra le cas échéant obtenir de l'Office des poursuites qu'il réexamine le montant saisi en tenant compte de la nouvelle contribution d'entretien. Quant au montant des dettes, chiffré à approximativement 100'000 fr., il ne ressort pas du jugement entrepris et l'appelant ne fait pas la démonstration que cet élément factuel aurait été omis de manière erronée par les premiers juges dans l'établissement des faits. L’argumentation de l’appelant, imprécise, ne permet donc pas de dire que l'état de sa situation financière aurait été mal évalué par les premiers juges et son grief doit être rejeté. 4.2 L’appelant rappelle que lors de la procédure ayant abouti à la décision de la Justice de paix du district de Lavaux-Oron du 30 avril 2012 lui attribuant la garde sur B.Q.________, il avait renoncé à demander à l’intimée de verser une pension pour l’entretien de leur fille, compte tenu du revenu mensuel allégué par son ex-épouse de 2'000 francs. Rappelant le ch. IV de la décision précitée réservant une évolution favorable de la situation de l’intimée, il s’étonne que désormais, alors que celle-ci réalise un revenu de 3'577 fr. 20, ce soit lui qui est astreint à contribuer à l’entretien de l’enfant B.Q.________. Il affirme que l’intimée pourrait très bien vivre avec son salaire actuel déduit du montant du loyer par 1'000 fr., son concubin participant également aux frais du ménage. En l’espèce, dans la mesure où l'appelant revient sur les revenus réalisés par l’intimée pendant la période où B.Q.________ vivait chez lui, il s'éloigne de la cause litigieuse, ces faits étant sans incidence pour la résolution du présent litige. Il n'y a pas non plus lieu de revenir ici sur le chiffre IV de la décision du 30 avril 2012, l'évolution favorable à prendre en considération se rapportant à un état de fait qui n'a plus cours</w:t>
      </w:r>
    </w:p>
    <w:p>
      <w:r>
        <w:t>- 12 - maintenant, puisque l'enfant vit désormais chez sa mère, depuis le 7 novembre 2014. La critique est sans pertinence aucune. L’appelant, en affirmant qu’en déduisant les 1'000 fr. correspondant au loyer du salaire de l’intimée, celle-ci « peut très bien vivre avec le reste soit 2'577 fr.20 en sachant que son ami participe aussi au ménage », ne réclame d'ailleurs pas une prise en charge financière de la mère supérieure au ratio retenu par les premiers juges, ceux-ci ayant considéré que puisque les revenus du père représentaient le 69.34% des revenus cumulés de la mère et du père, celui-ci devait prendre en charge le déficit de la fille majeure dans la même proportion. La critique, pour autant qu'elle soit recevable, est infondée. 4.3 L'appelant fait enfin valoir le défaut de contacts avec sa fille. Il se réfère à un échange de courrier électronique du 30 juin 2016, décrit comme « particulièrement glacial », sans un « Bonjour » ni de « Salutations ». 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Selon la jurisprudence du Tribunal fédéral, l’obligation d’entretien consacrée à cet article dépend notamment des relations personnelles entre les parents et l’enfant (ATF 127 I 202 consid. 3e ; TF 5A_563/2008 du 4 décembre 2008 consid. 5.1). L’inexistence de celles-ci attribuée au seul comportement du demandeur d’aliments peut ainsi justifier un refus de la part des parents de toute contribution (ATF 120 II 177 consid. 3c et les arrêts cités). La jurisprudence exige toutefois que l’attitude de l’enfant lui soit imputable à faute, celle-ci devant être appréciée subjectivement (ATF 113 lI 374 consid. 2). Ainsi, l’enfant doit avoir violé gravement les devoirs qui lui incombent en vertu de l’art. 272 CC (ATF 111 II 411 consid. 2). Dans les cas où les relations personnelles sont rompues, l'enfant doit avoir provoqué la rupture par son refus injustifié d’entretenir celles-là, son attitude gravement querelleuse ou son hostilité profonde (TF 5A_464/2008 du 25 décembre 2008 consid.</w:t>
      </w:r>
    </w:p>
    <w:p>
      <w:r>
        <w:t>- 13 - 3.1). Admettre, dans de telles circonstances, le droit à l’entretien après la majorité reviendrait en effet à réduire le débiteur au rôle de parent payeur, ce que n’a assurément pas voulu le législateur (ATF 113 II 374 consid. 2 ; ATF 120 II 177 consid. 3c et les arrêts cités ; TF 5C.205/2004 du 8 novembre 2004 consid. 5.1, FamPra.ch 2005 p. 414). En ce domaine, le juge jouit d'un large pouvoir d'appréciation. Toutefois, une réserve particulière s'impose lorsqu'il s'agit du manquement filial d'un enfant de parents divorcés envers ceux-ci ou l'un d'eux ;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(TF 5A_64/2015 du 2 avril 2015 consid. 5.1.1 ; TF 5A_560/2011 du 25 novembre 2011 consid. 4.1.1, FamPra.ch 2012 p. 496 ; ATF 129 III 375 consid. 4.2 ; ATF 117 II 127 consid. 3b ; ATF 113 II 374 consid. 4). Il en résulte que, pour justifier un refus d'entretien, l'enfant doit encourir la responsabilité exclusive de la rupture des relations personnelles et cette responsabilité doit pouvoir lui être imputée à faute (TF 5A_137/2015 du 9 avril 2015 consid. 5.2 ; TF 5A_503/2012 du 4 décembre 2012 consid. 4.2, FamPra.ch 2013 p. 525 ; TF 5A_805/2011 du 26 janvier 2012 consid. 2 ; ATF 113 II 374 consid. 2). En revanche, lorsque l'enfant a contribué à la rupture des relations, sans que sa responsabilité soit exclusive, on peut exiger du parent qu'il assume l'entretien (TF 5A_627/2013 du 11 décembre 2013 consid. 6.1.2, FamPra.ch 2014 p. 488 ; TF 5A_639/2013 du 21 février 2014 consid. 5.1). En l'espèce, les quelques lignes consacrées par l'appelant à la question des relations personnelles avec sa fille, notamment la mention des courriels échangés le 30 juin 2016, ne permet pas de dire que B.Q.________ se serait soustraite de manière coupable à l'accomplissement</w:t>
      </w:r>
    </w:p>
    <w:p>
      <w:r>
        <w:t>- 14 - des devoirs qui lui incombent en vertu du droit de la famille, ce qui n'est d'ailleurs même pas soutenu par l'appelant. Celui-ci, qui ne revient pas sur la circonstance retenue par les premiers juges, selon laquelle il n'a pas répondu au courriel de sa fille lui souhaitant une bonne année 2016, n'explique pas en quoi les conditions de l'art. 277 al. 2 CC ne seraient pas réalisées en l'état. Encore une fois, la critique, pour autant qu'elle soit recevable, est infondée. 5. Il découle des considérants qui précèdent que l’appel doit être rejeté selon le mode procédural de l’art. 312 al. 1 CPC, dans la mesure où il est recevable, et le jugement entrepris confirmé. Les frais judiciaires de deuxième instance, arrêtés à 600 fr. (art. 63 al. 1 TFJC [tarif des frais judiciaires civils du 28 septembre 2010 ; RSV 270.11.5]), doivent être mis à la charge de l’appelant, qui succombe (art. 106 al. 1 CPC). Il n’y a pas lieu d’allouer de dépens à l’intimée, celle-ci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