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TD14.040795 vom 31. Mai 2019</w:t>
      </w:r>
    </w:p>
    <w:p>
      <w:r>
        <w:t>VD Tribunal cantonal, 2019-05-31, FR</w:t>
      </w:r>
    </w:p>
    <w:p>
      <w:r>
        <w:rPr>
          <w:b/>
        </w:rPr>
        <w:t xml:space="preserve">Quelle: </w:t>
      </w:r>
      <w:r>
        <w:t>https://mcp.opencaselaw.ch/entscheid/vd_gerichte_TD14.040795</w:t>
      </w:r>
    </w:p>
    <w:p>
      <w:r>
        <w:t>FR: VD_GERICHTE TD14.040795 du 31 mai 2019</w:t>
      </w:r>
    </w:p>
    <w:p>
      <w:r>
        <w:t>IT: VD_GERICHTE TD14.040795 del 31 maggio 2019</w:t>
      </w:r>
    </w:p>
    <w:p>
      <w:pPr>
        <w:pStyle w:val="Heading2"/>
      </w:pPr>
      <w:r>
        <w:t>Erwägungen</w:t>
      </w:r>
    </w:p>
    <w:p>
      <w:r>
        <w:rPr>
          <w:b/>
        </w:rPr>
        <w:t>E. 31</w:t>
      </w:r>
    </w:p>
    <w:p>
      <w:r>
        <w:t>octobre 2018. Cette pièce a ensuite été transmise par le greffe le 12 mars 2019 au notaire commis à la liquidation du régime matrimonial des époux. Ces indications ont d’ailleurs été intégrées à l’état de fait du présent arrêt. On peut donner acte au recourant que la décision attaquée ne fait pas mention de ces éléments alors qu'elle est postérieure à la production de ces pièces bancaires. Toutefois, le recourant perd de vue que la décision du premier juge subordonne la reprise du procès au « terme des investigations auxquelles le Ministère public du canton de Vaud pG.________ ». Or, dans l’arrêt rendu le 14 août 2018 par la Chambre des recours pénale, il est enjoint au Procureur « [d']ordonner la production de tout document bancaire utile en mains des établissements bancaires susceptibles de détenir les avoirs relatifs à la fortune du père de A.Q.________, à compter de l'année 2007, afin de déterminer l'ampleur de celle-ci, ses titulaires et ayants droits économiques et ses différents mouvements ». Ainsi, l'investigation ne se limite pas à la relation qu'a pu avoir le père du recourant avec la banque V.________ mais s’étend à tous les établissements bancaires susceptibles de détenir ses avoirs, afin de déterminer si le recourant est effectivement « à la tête d’une fortune bien supérieure à celle qu’il aurait déclarée au fisc ». Il s'ensuit que la lacune invoquée par le recourant n'est dans tous les cas pas déterminante en ce</w:t>
      </w:r>
    </w:p>
    <w:p>
      <w:r>
        <w:t>- 11 - sens qu'elle n'est pas propre à modifier la décision attaquée. Le grief d'arbitraire doit être rejeté. 3. 3.1 Le recourant invoque une violation de l’art. 126 CPC. Il soutient que la suspension ne se justifierait pas car le dossier civil contiendrait désormais l'ensemble de la documentation bancaire requise par le Procureur dès lors que la clé USB avait été fournie au premier juge par l’intimée puis transmise à l’expert. 3.2 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CPC, FF 2006 6841, spéc. p. 6916 ; Haldy, in Commentaire romand du Code de procédure civile, 2e éd. 2019, nn. 5 ss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Sutter- Somm/Hasenböhler/Leuenberger [éd.], Kommentar zur Schweizerischen Zivilprozessordnung, 3e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[éd.], Schweizerische Zivilprozessordnung Kommentar, 3e éd. 2016, n. 27 ad art. 126 CPC). D'autres auteurs considèrent que l'examen de l'opportunité d'une suspension suppose une certaine retenue et la prise en compte non seulement du droit de saisine et du principe de célérité, mais également du type de procédure en question (Gschwend, in Spühler/Tenchio/Infanger</w:t>
      </w:r>
    </w:p>
    <w:p>
      <w:r>
        <w:t>- 12 - [éd.], Basler Kommentar, Schweizerische Zivilprozessordnung, 3e éd. 2017,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3.3 Le recourant ne disconvient pas que la production des pièces bancaires pourrait justifier une suspension de la procédure (au point 21 de son mémoire de recours). Dans la mesure où les revenus de propres constituent des acquêts (art. 197 al. 2 ch. 4 CC), il est effectivement nécessaire de déterminer les propres du recourant qui ont généré des revenus. Or, comme indiqué ci-dessus, l'investigation pénale sur laquelle repose la décision de suspension ne se limite pas uniquement à recueillir les documents bancaires détenus par la banque V.________. L'ordonnance de production des pièces vise en réalité tous les établissements bancaires susceptibles de détenir les avoirs relatifs à la fortune du père du recourant. Ces informations sont donc capitales dans la détermination d’éventuels acquêts du recourant qui devraient, cas échéant, être soumis à l’expert pour être partagés selon les règles de la liquidation matrimoniale. Cela étant, si le premier juge devait considérer que la seule production des pièces par la banque V.________ permettrait au notaire de mener à bien sa mission, la suspension du procès civil n'aurait plus lieu d'être et sa décision devrait être rapportée. Le raisonnement de la présidente doit être confirmé, la suspension se justifiant. 4. Il s’ensuit que le recours doit être rejeté selon l’art. 322 al. 1 in fine CPC et la décision entreprise confirmée. Les frais judiciaires de deuxième instance, arrêtés à 1'500 fr. (art. 71 al. 3 TFJC [tarif des frais judiciaires civils du 28 septembre 2010 ;</w:t>
      </w:r>
    </w:p>
    <w:p>
      <w:r>
        <w:t>- 13 - BLV 270.11.5]), sont mis à la charge du recourant, qui succombe (art. 106 al. 1 CPC). Il n’y a pas lieu à l’allocation de dépens, l’intimée n’ayant pas été invitée à déposer une réponse. Par ces motifs, la Chambre des recours civile du Tribunal cantonal, en application de l'art. 322 al. 1 CPC, prononce : I. Le recours est rejeté. II. La décision est confirmée. III. Les frais judiciaires de deuxième instance, arrêtés à 1'500 fr. (mille cinq cents francs), sont mis à la charge du recourant A.Q.________. IV. L’arrêt est exécutoire. Le président : Le greffier : Du L'arrêt qui précède, dont la rédaction a été approuvée à huis clos, est notifié à : - Me Christian Bettex (pour A.Q.________), - Me Damien Hottelier (pour B.Q.________).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