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TD14.040182 vom 1. November 2023</w:t>
      </w:r>
    </w:p>
    <w:p>
      <w:r>
        <w:t>VD Tribunal cantonal, 2023-11-01, FR</w:t>
      </w:r>
    </w:p>
    <w:p>
      <w:r>
        <w:rPr>
          <w:b/>
        </w:rPr>
        <w:t xml:space="preserve">Quelle: </w:t>
      </w:r>
      <w:r>
        <w:t>https://mcp.opencaselaw.ch/entscheid/vd_gerichte_TD14.040182</w:t>
      </w:r>
    </w:p>
    <w:p>
      <w:r>
        <w:t>FR: VD_GERICHTE TD14.040182 du 1 novembre 2023</w:t>
      </w:r>
    </w:p>
    <w:p>
      <w:r>
        <w:t>IT: VD_GERICHTE TD14.040182 del 1 novembre 2023</w:t>
      </w:r>
    </w:p>
    <w:p>
      <w:pPr>
        <w:pStyle w:val="Heading2"/>
      </w:pPr>
      <w:r>
        <w:t>Erwägungen</w:t>
      </w:r>
    </w:p>
    <w:p>
      <w:r>
        <w:rPr>
          <w:b/>
        </w:rPr>
        <w:t>E. 2.1</w:t>
      </w:r>
    </w:p>
    <w:p>
      <w:r>
        <w:t>S’agissant de la répartition des frais de première et deuxième instances, l’appelant soutient que vu l’admission partielle de son recours par le Tribunal fédéral, il y aurait lieu de les répartir par moitié entre les parties. Par ailleurs, il n’y aurait pas lieu d’allouer des dépens de deuxième instance à l’appelante, bénéficiaire de l’assistance judiciaire,</w:t>
      </w:r>
    </w:p>
    <w:p>
      <w:r>
        <w:t>- 9 - l’appelant faisant en outre valoir que sa propre situation financière serait obérée. Pour sa part, l’appelante fait valoir que les contributions d’entretien en faveur des enfants n’ont été que légèrement réduites par le Tribunal fédéral, de sorte que la répartition des frais effectuées par la Cour de céans dans l’arrêt du 17 janvier 2022, laquelle tenait déjà compte d’une victoire partielle de l’appelant sur cette question, devrait être maintenue.</w:t>
      </w:r>
    </w:p>
    <w:p>
      <w:r>
        <w:rPr>
          <w:b/>
        </w:rPr>
        <w:t>E. 2.2</w:t>
      </w:r>
    </w:p>
    <w:p>
      <w:r>
        <w:t>Aux termes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Revue suisse de procédure civile [RSPC] 2015 p. 484).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w:t>
      </w:r>
    </w:p>
    <w:p>
      <w:r>
        <w:rPr>
          <w:b/>
        </w:rPr>
        <w:t>E. 2.3.1</w:t>
      </w:r>
    </w:p>
    <w:p>
      <w:r>
        <w:t>L’arrêt du 17 janvier 2022 n’a pas à être modifié s’agissant de la répartition des frais de première instance, arrêtés à 18'814 fr. 35 au total sans que ce montant n’ait été remis en cause. Il ressort de cet arrêt que les frais en question comprennent, par 13'012 fr. 95, les honoraires relatifs à l’expertise familiale conduite par les Hôpitaux universitaires de Genève à la requête de la Présidente du tribunal, ainsi que les frais relatifs</w:t>
      </w:r>
    </w:p>
    <w:p>
      <w:r>
        <w:t>- 10 - à une seconde expertise (expertise « [...]») à hauteur de 1'801 fr. 40. Les 4'000 fr. restants étaient composés de l’émolument forfaitaire de décision par 3'000 fr. et des frais afférents aux mesures superprovisionnelles et provisionnelles (cf. supra let. A in fine) par 1'000 francs. Dans l’arrêt précité, la Cour de céans a considéré, au vu du sort réservé aux appels déposés les parties, que les frais judiciaires devaient être répartis par moitié entre elles. Le montant de 1'000 fr. relatif aux procédures superprovisionnelles et provisionnelles, dans lesquelles l’appelant avait entièrement succombé, devait toutefois être mis à sa seule charge, vu le sort réservé à son appel sur les questions concernées. L’arrêt du Tribunal fédéral ne justifie pas de revenir sur l’analyse qui précède, dès lors que l’appelant n’a que partiellement obtenu gain de cause sur un unique effet accessoire du divorce, soit la question des contributions d’entretien de ses enfants, alors que le coût des expertises, onéreuses, concernait des prétentions pour lesquelles l’appelant n’a pas obtenu gain de cause. Pour ces mêmes motifs, la décision de la Cour de céans de compenser les dépens de première instance doit être confirmée.</w:t>
      </w:r>
    </w:p>
    <w:p>
      <w:r>
        <w:rPr>
          <w:b/>
        </w:rPr>
        <w:t>E. 2.3.2</w:t>
      </w:r>
    </w:p>
    <w:p>
      <w:r>
        <w:t>S’agissant des frais de deuxième instance, le jugement d’une cause renvoyée ensuite d’un arrêt du Tribunal fédéral ne donne pas lieu à perception d’un nouvel émolument forfaitaire de décision (art. 5 TFJC [tarif des frais judiciaires civils du 28 septembre 2010 ; BLV 270.11.5]). Partant, les frais judiciaires à répartir s’élèveront à 14'322 fr. – dont 8'910 fr. à titre d’indemnité à Me Valérie Malagoli-Pache, curatrice de représentation des enfants – tels qu’arrêtés dans l’arrêt du 17 janvier 2022 sans que ce montant ne soit contesté. Ces frais avaient été mis à hauteur de cinq sixièmes à la charge de l’appelant et d’un sixième à la charge de l’appelante, compte tenu du fait que le premier avait entièrement succombé s’agissant de l’autorité parentale, de la garde et du droit de visite, ainsi que du mandat de curatelle confié au SPMi et de la liquidation du régime matrimonial ; il avait également succombé sur les deux requêtes de mesures</w:t>
      </w:r>
    </w:p>
    <w:p>
      <w:r>
        <w:t>- 11 - provisionnelles qu’il avait formées en appel. L’appelant n’avait ainsi obtenu gain de cause que sur la question de l’imputation d’un revenu hypothétique à l’appelante, de la diminution des charges de l’intéressée en lien avec son concubinage et de la limitation dans le temps de sa contribution d’ex-épouse, tout en succombant sensiblement sur les montants des pensions. De son côté, l’appelante avait largement obtenu gain de cause, exception faite de la question de l’entretien, sur laquelle elle succombait s’agissant de la durée de versement de sa pension alimentaire, ainsi que de la requête de mesures provisionnelles qu’elle avait déposée en appel. Ici encore, il se justifie de confirmer cette répartition. Comme relevé plus haut, l’appelant n’a que partiellement obtenu gain de cause devant le Tribunal fédéral, sur la seule question des contributions d’entretien de ses enfants, alors que son recours portait également sur ses droits parentaux – autorité parentale, garde, respectivement droit de visite – et sur la contribution allouée à l’appelante. C’est dire que l’appelant obtient gain de cause sur les mêmes points que dans l’arrêt du 17 janvier 2022, de sorte que la répartition des frais effectuée dans cet arrêt tient déjà compte de cette victoire partielle. Si les pensions post-majorité des enfants ont certes été sensiblement réduites par rapport à l’appel précité, il n’en demeure pas moins que l’appelant perd toujours largement sur la quotité des contributions d’entretien, au sujet desquelles il avait principalement conclu en appel à ce qu’elles soient mises à la charge de l’appelante, ses conclusions subsidiaires tendant à un partage par moitié des coûts des enfants. Pour ces mêmes motifs, il y a lieu de mettre des dépens – dont la charge de 20'000 fr. (cf. art. 9 al. 2 TDC [tarif des dépens en matière civile du 23 novembre 2010 ; BLV 270.11.6]) par partie fixée dans l’arrêt du 17 janvier 2022 et non contestée, doit être confirmée – réduits de cinq sixièmes à la charge de l’appelant, et d’un sixième à la charge de l’appelante, le fait que les parties soient au bénéfice de l’assistance judiciaire ne dispensant pas du versement, respectivement ne privant pas de l’allocation de dépens (art. 122 al. 1 let. d et al. 2 CPC). Partant,</w:t>
      </w:r>
    </w:p>
    <w:p>
      <w:r>
        <w:t>- 12 - l’appelant versera à Me Pascale Botbol (cf. TF 4A_106/2021 du 8 août 2022 consid. 3.4) la somme de 13'333 fr. 35 (5/6 de 20'000 - 1/6 de 20'000) à titre de dépens réduits de deuxième instance.</w:t>
      </w:r>
    </w:p>
    <w:p>
      <w:r>
        <w:rPr>
          <w:b/>
        </w:rPr>
        <w:t>E. 2.4</w:t>
      </w:r>
    </w:p>
    <w:p>
      <w:r>
        <w:t>Les parties, toutes deux au bénéfice de l’assistance judiciaire en première et deuxième instances, seront tenues au remboursement de leurs parts respectives aux frais judiciaires des instances précitées, comprenant en appel l’indemnité allouée à Me Valérie Malagoli-Pache selon le chiffre VIII du dispositif de l’arrêt du 17 janvier 2022, ainsi que des indemnités allouées aux conseils d’office telles qu’arrêtées aux chiffres IX et X du dispositif de l’arrêt précité ne faisant pas l’objet du renvoi du Tribunal fédéral, provisoirement laissées à la charge de l’Etat, dès qu’elles seront en mesure de le faire (art. 123 CPC). Il incombera à la Direction du recouvrement de la Direction générale des affaires institutionnelles et des communes de fixer le principe et les modalités de ces remboursements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