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TD14.028552 vom 30. März 2021</w:t>
      </w:r>
    </w:p>
    <w:p>
      <w:r>
        <w:t>VD Tribunal cantonal, 2021-03-30, FR</w:t>
      </w:r>
    </w:p>
    <w:p>
      <w:r>
        <w:rPr>
          <w:b/>
        </w:rPr>
        <w:t xml:space="preserve">Quelle: </w:t>
      </w:r>
      <w:r>
        <w:t>https://mcp.opencaselaw.ch/entscheid/vd_gerichte_TD14.028552</w:t>
      </w:r>
    </w:p>
    <w:p>
      <w:r>
        <w:t>FR: VD_GERICHTE TD14.028552 du 30 mars 2021</w:t>
      </w:r>
    </w:p>
    <w:p>
      <w:r>
        <w:t>IT: VD_GERICHTE TD14.028552 del 30 marzo 2021</w:t>
      </w:r>
    </w:p>
    <w:p>
      <w:pPr>
        <w:pStyle w:val="Heading2"/>
      </w:pPr>
      <w:r>
        <w:t>Erwägungen</w:t>
      </w:r>
    </w:p>
    <w:p>
      <w:r>
        <w:rPr>
          <w:b/>
        </w:rPr>
        <w:t>E. 4.1</w:t>
      </w:r>
    </w:p>
    <w:p>
      <w:r>
        <w:t>Au vu de ce qui précède, l’appel doit être partiellement admis dans le sens qui précède, en plus des points déjà tranchés par la Cour de céans dans l’arrêt du 14 août 2019 et qui n’ont pas fait l’objet d’un recours au Tribunal fédéral. Le jugement du tribunal d’arrondissement du 29 octobre 20218 sera ainsi réformé au chiffre IV de son dispositif en ce sens que A.X.________ sera astreint à contribuer à l’entretien de son fils [...], par le régulier versement, d’avance le premier de chaque mois en mains de B.X.________, d’un montant de 1'515 fr. dès le mois qui suit l’entrée en force du jugement et jusqu’au 31 août 2019, 1'875 fr. dès le 1er septembre 2019 et jusqu’à ce que l’enfant ait atteint l’âge de 16 ans révolus et 1'450 fr. − et non plus de 1'975 fr. − dès lors et jusqu’à la majorité de l’enfant ou son indépendance économique, aux conditions de l’art. 277 al. 2 CC. Le jugement est confirmé pour le surplus.</w:t>
      </w:r>
    </w:p>
    <w:p>
      <w:r>
        <w:rPr>
          <w:b/>
        </w:rPr>
        <w:t>E. 4.2</w:t>
      </w:r>
    </w:p>
    <w:p>
      <w:r>
        <w:t>Si l’instance d’appel statue à nouveau, elle se prononce sur les frais – soit les frais judiciaires et les dépens (art. 95 al. 1 CPC) – de la première instance (art. 106, 107 al. 1 let. c et 318 al. 3 CPC). Au vu des conclusions des parties et du sort de la cause, il se justifie de confirmer la répartition par moitié des frais de première instance, comme retenu par les premiers juges. Il en va de même des dépens de première instance. Les montants d'indemnités allouées aux conseils des parties seront également confirmés, rien n'en justifiant la modification.</w:t>
      </w:r>
    </w:p>
    <w:p>
      <w:r>
        <w:t>- 23 -</w:t>
      </w:r>
    </w:p>
    <w:p>
      <w:r>
        <w:rPr>
          <w:b/>
        </w:rPr>
        <w:t>E. 4.3</w:t>
      </w:r>
    </w:p>
    <w:p>
      <w:r>
        <w:t>Quant aux frais judiciaires de deuxième instance, aucun émolument supplémentaire ne sera dû pour le présent arrêt ensuite de l'arrêt de renvoi du Tribunal fédéral (art. 5 al. 1 TFJC [tarif des frais judiciaires civils du 28 septembre 2010 ; BLV 270.11.5]). Il ne sera pas non plus perçu de frais judiciaires pour l’ordonnance du 26 février 2021 rendue par la Cour de céans, ce en application de l’art. 10 TFJC. S’agissant de la répartition des frais judiciaires de deuxième instance, compte tenu de ce qui précède et du sort donné à l'appel par rapport aux conclusions prises, allouant au final beaucoup moins que ce qui était demandé et un peu moins que ce qui avait été alloué par arrêt du 14 août 2019 de la Cour de céans, et ce uniquement pour la période postérieure aux 16 ans de l'enfant, la répartition telle qu'arrêtée dans le premier arrêt, soit 4'500 fr. à charge de l’appelante, et 500 fr. à charge de l’intimé – représentant respectivement 9/10 et 1/10 des frais d'appel − peut elle aussi être maintenue. Toutefois, dès lors que l’assistance judiciaire a été accordée à l’appelante, par décision du 22 janvier 2019, et à l’intimé, par arrêt du 14 août 2019, la part des frais judiciaires mise à leur charge sera laissée provisoirement à la charge de l'Etat (art. 122 al. 1 let. b CPC).</w:t>
      </w:r>
    </w:p>
    <w:p>
      <w:r>
        <w:rPr>
          <w:b/>
        </w:rPr>
        <w:t>E. 4.4</w:t>
      </w:r>
    </w:p>
    <w:p>
      <w:r>
        <w:t>Les dépens de deuxième instance peuvent être arrêtés à 5’200 fr. pour chaque partie, dont 1’200 fr. pour les frais engagés après le renvoi de la cause à la Cour de céans, étant précisé que, dans ses déterminations du 18 janvier 2021, l’intimé n’a pas conclu à des dépens pour la procédure ayant abouti à l’ordonnance du 26 février 2021. Il se justifie de mettre ces dépens à raison de 9/10 à la charge de l'appelante, soit 3'600 fr. (4'000 fr. x 9/10), et à raison de 1/10 à la charge de l'intimé, soit 400 fr. (4'000 fr. x 1/10), et de mettre l'entier des dépens engagés après l'arrêt de renvoi, par 1’200 fr., à la charge de l'appelante qui succombe entièrement sur les points examinés. L’appelante versera en définitive à l’intimé la somme de</w:t>
      </w:r>
    </w:p>
    <w:p>
      <w:r>
        <w:t>- 24 - 4’400 fr. ([3'600 fr. - 400 fr.] + 1’200 fr.), à titre de dépens réduits de deuxième instance.</w:t>
      </w:r>
    </w:p>
    <w:p>
      <w:r>
        <w:rPr>
          <w:b/>
        </w:rPr>
        <w:t>E. 4.5</w:t>
      </w:r>
    </w:p>
    <w:p>
      <w:r>
        <w:t>S’agissant des indemnités, les montants alloués par la Cour de céans par arrêt du 14 août 2019, soit 4'545 fr. 75 pour Me Nicole Wiebach, ancien conseil d’office de l’appelante, et 2'020 fr. 25 pour Me Henriette Dénéréaz Luisier, conseil d’office de l’intimé, peuvent être confirmés, rien n'en justifiant la modification. De nouvelles indemnités doivent toutefois être accordées en sus, afin de tenir compte des opérations réalisées par les conseils d'office des parties devant l'autorité de céans à la suite de l’arrêt de renvoi. Le conseil de l’appelante, Me Raphaël Dessemontet, a indiqué dans sa liste d'opérations du 16 février 2021 avoir consacré 12.40 heures au dossier pour la période du 25 novembre 2020 au 28 janvier 2021. Vu les difficultés de la cause et notamment le fait qu’il n’a été désigné conseil d’office de l’appelante que le 12 novembre 2020, soit après la reddition de l’arrêt du Tribunal fédéral du 15 juin 2020, il y a lieu d’admettre ce nombre d'heures, à l’exception du poste « opérations prévisibles futures » comptabilisée à raison d’une heure, qui doit être réduite à 30 minutes (juge délégué CACI du 5 juillet 2019/582). Par ailleurs, les frais de vacation par 120 fr., qui concernent un déplacement effectué par Me Dessemontet à l’étude d’un confrère, doivent être retranchés, dès lors que seuls les déplacements auprès des autorités, en particulier lors de la participation à des audiences, doivent être comptabilisés (CREC du 4 août 2017/254 consid. 3.3.4). Il s'ensuit qu'au tarif horaire de 180 fr., l'indemnité de Me Dessemontet doit être fixée à 2'353 fr. 10, soit 2’142 fr. ([12.40 - 0.5] x 180 fr.) à titre d’honoraires, 42 fr. 85 de débours, soit 2% − et non pas 5% comme réclamé − du défraiement hors taxe (art. 3bis al. 1 RAJ [règlement du 7 décembre 2010 sur l'assistance judiciaire en matière civile ; BLV 211.02.3]), et 168 fr. 25 (7.7% x [2’142 fr. + 42 fr. 85]) de TVA sur le tout (art. 2 al. 3 RAJ). Le conseil de l’intimé, Me Henriette Dénéréaz Luisier, a indiqué dans sa liste d'opérations du 16 février 2021 avoir consacré 5 heures et 49</w:t>
      </w:r>
    </w:p>
    <w:p>
      <w:r>
        <w:t>- 25 - minutes au dossier pour la période du 21 juillet 2020 au 16 février 2021. Il y a lieu d’admettre ce nombre d'heures pour la procédure de renvoi. Il s'ensuit qu'au tarif horaire de 180 fr., l'indemnité de Me Dénéréaz Luisier doit être fixée à 1'148 fr. 85, soit 1'045 fr. 80 (5.81 x 180 fr.) à titre d’honoraires, 20 fr. 90 de débours, soit 2% du défraiement hors taxe (art. 3bis al. 1 RAJ), et 82 fr. 15 (7.7% x [1'045 fr. 80 + 20 fr. 90]) de TVA sur le tout (art. 2 al. 3 RAJ), pour les opérations dans la procédure d’appel postérieures au 14 août 2019. Les bénéficiaires de l'assistance judiciaire seront, dans la mesure de l'art. 123 CPC, tenus au remboursement des frais judiciaires de deuxième instance et de l’indemnité à leur conseil d’office, provisoirement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